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160" w:rsidRDefault="003A4160" w:rsidP="003A4160">
      <w:pPr>
        <w:spacing w:line="240" w:lineRule="auto"/>
        <w:jc w:val="center"/>
        <w:rPr>
          <w:b/>
        </w:rPr>
      </w:pPr>
      <w:r>
        <w:rPr>
          <w:b/>
        </w:rPr>
        <w:t>Follow-on Biologics Case Study</w:t>
      </w:r>
    </w:p>
    <w:p w:rsidR="003A4160" w:rsidRDefault="00CE40D5" w:rsidP="003A4160">
      <w:pPr>
        <w:spacing w:after="0" w:line="240" w:lineRule="auto"/>
        <w:rPr>
          <w:b/>
        </w:rPr>
      </w:pPr>
      <w:r>
        <w:rPr>
          <w:b/>
        </w:rPr>
        <w:t>Introduction</w:t>
      </w:r>
    </w:p>
    <w:p w:rsidR="00CE40D5" w:rsidRDefault="00CE40D5" w:rsidP="003A4160">
      <w:pPr>
        <w:spacing w:after="0" w:line="240" w:lineRule="auto"/>
        <w:rPr>
          <w:b/>
        </w:rPr>
      </w:pPr>
    </w:p>
    <w:p w:rsidR="00CE40D5" w:rsidRDefault="00CE40D5" w:rsidP="003A4160">
      <w:pPr>
        <w:spacing w:after="0" w:line="240" w:lineRule="auto"/>
      </w:pPr>
      <w:r>
        <w:rPr>
          <w:b/>
        </w:rPr>
        <w:tab/>
      </w:r>
      <w:r>
        <w:t>The rise of generic pharmaceuticals has resulted in large price reductions and numerous opportunities for large and small drug companies.  Now, provisions in the new comprehensive health care law combined with a wave of patent expirations on major biologics are opening the door to companies interested in pursuing generic versions of brand-name biologics</w:t>
      </w:r>
      <w:r w:rsidR="009A5BB0">
        <w:t>, known as follow-on biologics or biosimilars</w:t>
      </w:r>
      <w:r>
        <w:t>.  Perhaps the best example</w:t>
      </w:r>
      <w:r w:rsidR="009A5BB0">
        <w:t xml:space="preserve"> is the case of Merck’s investment in and creation of a follow-on biologics unit, Merck BioVentures. </w:t>
      </w:r>
    </w:p>
    <w:p w:rsidR="00CE40D5" w:rsidRPr="00CE40D5" w:rsidRDefault="00CE40D5" w:rsidP="003A4160">
      <w:pPr>
        <w:spacing w:after="0" w:line="240" w:lineRule="auto"/>
      </w:pPr>
    </w:p>
    <w:p w:rsidR="00EE1668" w:rsidRPr="00FC6CA5" w:rsidRDefault="00B80350" w:rsidP="003A4160">
      <w:pPr>
        <w:spacing w:line="240" w:lineRule="auto"/>
        <w:rPr>
          <w:b/>
        </w:rPr>
      </w:pPr>
      <w:r w:rsidRPr="00FC6CA5">
        <w:rPr>
          <w:b/>
        </w:rPr>
        <w:t>Biologics</w:t>
      </w:r>
    </w:p>
    <w:p w:rsidR="00732597" w:rsidRDefault="00B80350" w:rsidP="003A4160">
      <w:pPr>
        <w:spacing w:after="0" w:line="240" w:lineRule="auto"/>
      </w:pPr>
      <w:r>
        <w:tab/>
        <w:t xml:space="preserve">Most drugs fall into </w:t>
      </w:r>
      <w:hyperlink r:id="rId7" w:history="1">
        <w:r w:rsidRPr="00565525">
          <w:rPr>
            <w:rStyle w:val="Hyperlink"/>
          </w:rPr>
          <w:t>two categories</w:t>
        </w:r>
      </w:hyperlink>
      <w:bookmarkStart w:id="0" w:name="_GoBack"/>
      <w:bookmarkEnd w:id="0"/>
      <w:r>
        <w:t>: small molecules and large molecules.</w:t>
      </w:r>
      <w:r>
        <w:rPr>
          <w:rStyle w:val="FootnoteReference"/>
        </w:rPr>
        <w:footnoteReference w:id="1"/>
      </w:r>
      <w:r>
        <w:t xml:space="preserve">  Common pharmaceuticals such as </w:t>
      </w:r>
      <w:r w:rsidR="005153D2">
        <w:t xml:space="preserve">Tylenol and Lipitor are small molecules: </w:t>
      </w:r>
      <w:r w:rsidR="00A21BEB">
        <w:t>they consist of only dozens of atoms and may be reproduced exactly through well-understood chemical processes.</w:t>
      </w:r>
      <w:r w:rsidR="00A21BEB">
        <w:rPr>
          <w:rStyle w:val="FootnoteReference"/>
        </w:rPr>
        <w:footnoteReference w:id="2"/>
      </w:r>
      <w:r w:rsidR="00A21BEB">
        <w:t xml:space="preserve">  </w:t>
      </w:r>
      <w:r>
        <w:t>Biologics comprise the latter category.</w:t>
      </w:r>
      <w:r w:rsidR="00A21BEB">
        <w:t xml:space="preserve">  Unlike traditional pharmaceuticals, biologics are complexly structured, typically made up of millions of atoms, and are produced from living cells through biological processes.</w:t>
      </w:r>
      <w:r w:rsidR="00A21BEB">
        <w:rPr>
          <w:rStyle w:val="FootnoteReference"/>
        </w:rPr>
        <w:footnoteReference w:id="3"/>
      </w:r>
      <w:r w:rsidR="00A21BEB">
        <w:t xml:space="preserve">  Thus, generic versions of traditional pharmaceuticals are relatively easy to produce once the patent </w:t>
      </w:r>
      <w:r w:rsidR="00242EF6">
        <w:t>for</w:t>
      </w:r>
      <w:r w:rsidR="00A21BEB">
        <w:t xml:space="preserve"> the original drug expires.</w:t>
      </w:r>
      <w:r w:rsidR="00242EF6">
        <w:t xml:space="preserve">  Biologics, however, face considerable, perhaps even insurmountable, technical challenges to the</w:t>
      </w:r>
      <w:r w:rsidR="006B42AE">
        <w:t xml:space="preserve"> development of products that are truly equivalent to their brand-name counterparts.  For this reason, </w:t>
      </w:r>
      <w:r w:rsidR="00732597">
        <w:t>these products are not usually referred to as “generic” biologics, but as follow-on biologics or biosimilars.</w:t>
      </w:r>
      <w:r w:rsidR="00732597">
        <w:rPr>
          <w:rStyle w:val="FootnoteReference"/>
        </w:rPr>
        <w:footnoteReference w:id="4"/>
      </w:r>
      <w:r w:rsidR="00732597">
        <w:t xml:space="preserve">  Apart from a description of these differences, a precise definition of the term “biologic” is hard to devise.  The Public Health Service offers the following definition</w:t>
      </w:r>
      <w:r w:rsidR="006C57E3">
        <w:t>, albeit of “biological product” rather than “biologic”: “a virus, therapeutic serum, toxin, antitoxin, vaccine, blood, blood component or derivative, allergenic product, or analogous product, or arsphenamine or derivative of arsphenamine . . . applicable to the prevention, treatment, or cure of a disease or condition of human beings.”</w:t>
      </w:r>
      <w:r w:rsidR="006C57E3">
        <w:rPr>
          <w:rStyle w:val="FootnoteReference"/>
        </w:rPr>
        <w:footnoteReference w:id="5"/>
      </w:r>
      <w:r w:rsidR="00732597">
        <w:t xml:space="preserve">  </w:t>
      </w:r>
      <w:r w:rsidR="00242EF6">
        <w:t xml:space="preserve"> </w:t>
      </w:r>
    </w:p>
    <w:p w:rsidR="003A4160" w:rsidRDefault="003A4160" w:rsidP="003A4160">
      <w:pPr>
        <w:spacing w:after="0" w:line="240" w:lineRule="auto"/>
      </w:pPr>
    </w:p>
    <w:p w:rsidR="004D502C" w:rsidRDefault="00732597" w:rsidP="003A4160">
      <w:pPr>
        <w:spacing w:after="0" w:line="240" w:lineRule="auto"/>
      </w:pPr>
      <w:r>
        <w:tab/>
        <w:t xml:space="preserve">Despite the challenges involved in the production of follow-on biologics, the industry is expected to grow significantly in the coming years.  The </w:t>
      </w:r>
      <w:r w:rsidR="006C57E3">
        <w:t xml:space="preserve">size of the </w:t>
      </w:r>
      <w:r>
        <w:t xml:space="preserve">biologics market </w:t>
      </w:r>
      <w:r w:rsidR="006C57E3">
        <w:t>has already been estimated to be $52 billion, with a</w:t>
      </w:r>
      <w:r w:rsidR="00A84953">
        <w:t xml:space="preserve"> growth rate faster than any other sector of the pharmaceuticals market.</w:t>
      </w:r>
      <w:r w:rsidR="00A84953">
        <w:rPr>
          <w:rStyle w:val="FootnoteReference"/>
        </w:rPr>
        <w:footnoteReference w:id="6"/>
      </w:r>
      <w:r w:rsidR="00A84953">
        <w:t xml:space="preserve">  Furthermore, </w:t>
      </w:r>
      <w:r w:rsidR="000C73DD">
        <w:t>patents on several major biologics are set to expire in the next ten years, represented a market value that could be as high as $50 billion.</w:t>
      </w:r>
      <w:r w:rsidR="000C73DD">
        <w:rPr>
          <w:rStyle w:val="FootnoteReference"/>
        </w:rPr>
        <w:footnoteReference w:id="7"/>
      </w:r>
      <w:r w:rsidR="000C73DD">
        <w:t xml:space="preserve">  Moreover, new regulatory authority created by the Patient Protection and Affordable Care Act</w:t>
      </w:r>
      <w:r w:rsidR="004D502C">
        <w:t xml:space="preserve"> (PPACA)</w:t>
      </w:r>
      <w:r w:rsidR="000C73DD">
        <w:t xml:space="preserve"> in March of 2010 </w:t>
      </w:r>
      <w:hyperlink r:id="rId8" w:history="1">
        <w:r w:rsidR="000C73DD" w:rsidRPr="00565525">
          <w:rPr>
            <w:rStyle w:val="Hyperlink"/>
          </w:rPr>
          <w:t>allows the FDA to license follow-on biologics</w:t>
        </w:r>
      </w:hyperlink>
      <w:r w:rsidR="000C73DD">
        <w:t>.</w:t>
      </w:r>
      <w:r w:rsidR="000C73DD">
        <w:rPr>
          <w:rStyle w:val="FootnoteReference"/>
        </w:rPr>
        <w:footnoteReference w:id="8"/>
      </w:r>
      <w:r w:rsidR="000C73DD">
        <w:t xml:space="preserve">  These favorable market and regulatory trends have led many firms to seriously consider </w:t>
      </w:r>
      <w:r w:rsidR="004D502C">
        <w:t>the developing new follow-on biologics.</w:t>
      </w:r>
    </w:p>
    <w:p w:rsidR="003A4160" w:rsidRDefault="003A4160" w:rsidP="003A4160">
      <w:pPr>
        <w:spacing w:after="0" w:line="240" w:lineRule="auto"/>
      </w:pPr>
    </w:p>
    <w:p w:rsidR="00FC6CA5" w:rsidRDefault="00FC6CA5" w:rsidP="003A4160">
      <w:pPr>
        <w:spacing w:after="0" w:line="240" w:lineRule="auto"/>
        <w:rPr>
          <w:b/>
        </w:rPr>
      </w:pPr>
      <w:r w:rsidRPr="00FC6CA5">
        <w:rPr>
          <w:b/>
        </w:rPr>
        <w:t>PPACA</w:t>
      </w:r>
    </w:p>
    <w:p w:rsidR="003A4160" w:rsidRPr="00FC6CA5" w:rsidRDefault="003A4160" w:rsidP="003A4160">
      <w:pPr>
        <w:spacing w:after="0" w:line="240" w:lineRule="auto"/>
        <w:rPr>
          <w:b/>
        </w:rPr>
      </w:pPr>
    </w:p>
    <w:p w:rsidR="00B85F62" w:rsidRDefault="006B1FB0" w:rsidP="003A4160">
      <w:pPr>
        <w:spacing w:after="0" w:line="240" w:lineRule="auto"/>
      </w:pPr>
      <w:r>
        <w:tab/>
        <w:t>For traditional pharmaceuticals, the Drug Price Competition and Patent Term Restoration Act of 1984, commonly called the Hatch-Waxman Act, governs the introduction of generic versions of off patent brand-name drugs.</w:t>
      </w:r>
      <w:r>
        <w:rPr>
          <w:rStyle w:val="FootnoteReference"/>
        </w:rPr>
        <w:footnoteReference w:id="9"/>
      </w:r>
      <w:r w:rsidR="007850A2">
        <w:t xml:space="preserve">  The Hatch-Waxman Act allowed for expedited </w:t>
      </w:r>
      <w:r w:rsidR="00311874">
        <w:t xml:space="preserve">marketing </w:t>
      </w:r>
      <w:r w:rsidR="007850A2">
        <w:t>approval for generics by eliminating the need for expensive and time-consuming clinical trials</w:t>
      </w:r>
      <w:r w:rsidR="00311874">
        <w:t xml:space="preserve"> in most cases.</w:t>
      </w:r>
      <w:r w:rsidR="00311874">
        <w:rPr>
          <w:rStyle w:val="FootnoteReference"/>
        </w:rPr>
        <w:footnoteReference w:id="10"/>
      </w:r>
      <w:r w:rsidR="00311874">
        <w:t xml:space="preserve">  </w:t>
      </w:r>
      <w:r w:rsidR="00B85F62">
        <w:t xml:space="preserve">Two expedited approval pathways are available: section 505(j) for generic drugs with the </w:t>
      </w:r>
      <w:r w:rsidR="00B85F62" w:rsidRPr="00B85F62">
        <w:rPr>
          <w:i/>
        </w:rPr>
        <w:t>same</w:t>
      </w:r>
      <w:r w:rsidR="00B85F62">
        <w:t xml:space="preserve"> active ingredient as the brand-name drug, and section 505(b)(2) for generic drugs with a sufficiently </w:t>
      </w:r>
      <w:r w:rsidR="00B85F62" w:rsidRPr="00B85F62">
        <w:rPr>
          <w:i/>
        </w:rPr>
        <w:t>similar</w:t>
      </w:r>
      <w:r w:rsidR="00B85F62">
        <w:t xml:space="preserve"> active ingredient as the brand-name drug.</w:t>
      </w:r>
      <w:r w:rsidR="00B85F62">
        <w:rPr>
          <w:rStyle w:val="FootnoteReference"/>
        </w:rPr>
        <w:footnoteReference w:id="11"/>
      </w:r>
      <w:r w:rsidR="00B85F62">
        <w:t xml:space="preserve">  However, because it is nearly impossible to create biologics that are exactly the same as their brand name counterparts, and regulatory pathway for similar generics under 505(b)(2) still requires that the applying company submit additional data to demonstrate safety and effectiveness, many companies with follow-on biologics are with unable or unwilling to take advantage of these provisions.</w:t>
      </w:r>
      <w:r w:rsidR="00B85F62">
        <w:rPr>
          <w:rStyle w:val="FootnoteReference"/>
        </w:rPr>
        <w:footnoteReference w:id="12"/>
      </w:r>
      <w:r w:rsidR="00B85F62">
        <w:t xml:space="preserve">  </w:t>
      </w:r>
    </w:p>
    <w:p w:rsidR="003A4160" w:rsidRDefault="003A4160" w:rsidP="003A4160">
      <w:pPr>
        <w:spacing w:after="0" w:line="240" w:lineRule="auto"/>
      </w:pPr>
    </w:p>
    <w:p w:rsidR="00311874" w:rsidRDefault="00311874" w:rsidP="003A4160">
      <w:pPr>
        <w:spacing w:after="0" w:line="240" w:lineRule="auto"/>
        <w:ind w:firstLine="720"/>
      </w:pPr>
      <w:r>
        <w:t>PPACA aims to allow for an analogous process in the case of follow-on biologics.</w:t>
      </w:r>
      <w:r w:rsidR="00131DC7">
        <w:t xml:space="preserve">  The Act provides that an application provide data from clinical studies to demonstrate the safety and potency of the follow-on biologic in situations in which the brand-name drug is licensed for use.</w:t>
      </w:r>
      <w:r w:rsidR="00131DC7">
        <w:rPr>
          <w:rStyle w:val="FootnoteReference"/>
        </w:rPr>
        <w:footnoteReference w:id="13"/>
      </w:r>
      <w:r w:rsidR="00131DC7">
        <w:t xml:space="preserve">  However, the Secretary may waive the clinical studies requirement, along with other required elements of the application.</w:t>
      </w:r>
      <w:r w:rsidR="00131DC7">
        <w:rPr>
          <w:rStyle w:val="FootnoteReference"/>
        </w:rPr>
        <w:footnoteReference w:id="14"/>
      </w:r>
      <w:r w:rsidR="000A5874">
        <w:t xml:space="preserve">  The Secretary may then designate the drug in question as either a “biosimilar” or an “interchangeable” depending on the degree of similarity.</w:t>
      </w:r>
      <w:r w:rsidR="000A5874">
        <w:rPr>
          <w:rStyle w:val="FootnoteReference"/>
        </w:rPr>
        <w:footnoteReference w:id="15"/>
      </w:r>
      <w:r w:rsidR="00E047FA">
        <w:t xml:space="preserve">  The Act also provides 12 years of data exclusivity, during which no application for a follow-on biologic will be approved</w:t>
      </w:r>
      <w:r w:rsidR="003C3763">
        <w:t xml:space="preserve"> after the brand-name drug’s licensure date.</w:t>
      </w:r>
      <w:r w:rsidR="003C3763">
        <w:rPr>
          <w:rStyle w:val="FootnoteReference"/>
        </w:rPr>
        <w:footnoteReference w:id="16"/>
      </w:r>
    </w:p>
    <w:p w:rsidR="003A4160" w:rsidRDefault="003A4160" w:rsidP="003A4160">
      <w:pPr>
        <w:spacing w:after="0" w:line="240" w:lineRule="auto"/>
        <w:ind w:firstLine="720"/>
      </w:pPr>
    </w:p>
    <w:p w:rsidR="003C3763" w:rsidRDefault="003C3763" w:rsidP="003A4160">
      <w:pPr>
        <w:spacing w:after="0" w:line="240" w:lineRule="auto"/>
        <w:ind w:firstLine="720"/>
      </w:pPr>
      <w:r>
        <w:t>The Act, however, does not remedy all challenges facing the development of follow-on biologics.</w:t>
      </w:r>
      <w:r w:rsidR="008110FC">
        <w:t xml:space="preserve">  For example, </w:t>
      </w:r>
      <w:r w:rsidR="005D13E2">
        <w:t>rather than developing new follow-on biologics, firms might try to create new biologics by making small modifications to the manufacturing process for existing biologics, thereby receiving an additional 12 years of data exclusivity.</w:t>
      </w:r>
      <w:r w:rsidR="005D13E2">
        <w:rPr>
          <w:rStyle w:val="FootnoteReference"/>
        </w:rPr>
        <w:footnoteReference w:id="17"/>
      </w:r>
      <w:r w:rsidR="005D13E2">
        <w:t xml:space="preserve">  Furthermore, some industry leaders see 12 years as an insufficient time period to incentivize research and development.</w:t>
      </w:r>
      <w:r w:rsidR="005D13E2">
        <w:rPr>
          <w:rStyle w:val="FootnoteReference"/>
        </w:rPr>
        <w:footnoteReference w:id="18"/>
      </w:r>
      <w:r w:rsidR="005D13E2">
        <w:t xml:space="preserve">  Finally, cost may bar all but the largest firms from developin</w:t>
      </w:r>
      <w:r w:rsidR="006C58E4">
        <w:t xml:space="preserve">g follow-on biologics.  </w:t>
      </w:r>
      <w:hyperlink r:id="rId9" w:history="1">
        <w:r w:rsidR="006C58E4" w:rsidRPr="00B93D1E">
          <w:rPr>
            <w:rStyle w:val="Hyperlink"/>
          </w:rPr>
          <w:t>According to the Federal Trade Commission</w:t>
        </w:r>
      </w:hyperlink>
      <w:r w:rsidR="006C58E4">
        <w:t>, follow-on biologics are expected to take between 8 to 10 years to develop and to cost between $100 million and $200 million, while small-molecule generic development typically costs between $1 million and $5 million.</w:t>
      </w:r>
      <w:r w:rsidR="006C58E4">
        <w:rPr>
          <w:rStyle w:val="FootnoteReference"/>
        </w:rPr>
        <w:footnoteReference w:id="19"/>
      </w:r>
    </w:p>
    <w:p w:rsidR="003A4160" w:rsidRDefault="003A4160" w:rsidP="003A4160">
      <w:pPr>
        <w:spacing w:after="0" w:line="240" w:lineRule="auto"/>
        <w:ind w:firstLine="720"/>
      </w:pPr>
    </w:p>
    <w:p w:rsidR="006C58E4" w:rsidRDefault="006C58E4" w:rsidP="003A4160">
      <w:pPr>
        <w:spacing w:after="0" w:line="240" w:lineRule="auto"/>
        <w:rPr>
          <w:b/>
        </w:rPr>
      </w:pPr>
      <w:r>
        <w:rPr>
          <w:b/>
        </w:rPr>
        <w:t>Merck</w:t>
      </w:r>
    </w:p>
    <w:p w:rsidR="003A4160" w:rsidRDefault="003A4160" w:rsidP="003A4160">
      <w:pPr>
        <w:spacing w:after="0" w:line="240" w:lineRule="auto"/>
        <w:rPr>
          <w:b/>
        </w:rPr>
      </w:pPr>
    </w:p>
    <w:p w:rsidR="006C58E4" w:rsidRDefault="006C58E4" w:rsidP="003A4160">
      <w:pPr>
        <w:spacing w:after="0" w:line="240" w:lineRule="auto"/>
      </w:pPr>
      <w:r>
        <w:rPr>
          <w:b/>
        </w:rPr>
        <w:tab/>
      </w:r>
      <w:r w:rsidR="00C9766F">
        <w:t xml:space="preserve">Merck’s plans for follow-on biologics provide a prime example of a large, established biotechnology company taking advantage of the opportunities provided by the changes in the biologics market.  </w:t>
      </w:r>
      <w:r w:rsidR="00F56201">
        <w:t xml:space="preserve">In 2008, Merck </w:t>
      </w:r>
      <w:hyperlink r:id="rId10" w:history="1">
        <w:r w:rsidR="00F56201" w:rsidRPr="00565525">
          <w:rPr>
            <w:rStyle w:val="Hyperlink"/>
          </w:rPr>
          <w:t>announced</w:t>
        </w:r>
      </w:hyperlink>
      <w:r w:rsidR="00F56201">
        <w:t xml:space="preserve"> plans to launch a new unit</w:t>
      </w:r>
      <w:r w:rsidR="0086523C">
        <w:t>, Merck BioVentures,</w:t>
      </w:r>
      <w:r w:rsidR="00F56201">
        <w:t xml:space="preserve"> dedicated to developing follow-on biologics.</w:t>
      </w:r>
      <w:r w:rsidR="00F56201">
        <w:rPr>
          <w:rStyle w:val="FootnoteReference"/>
        </w:rPr>
        <w:footnoteReference w:id="20"/>
      </w:r>
      <w:r w:rsidR="00F56201">
        <w:t xml:space="preserve">  Dick Clark, Merck’s CEO, </w:t>
      </w:r>
      <w:hyperlink r:id="rId11" w:history="1">
        <w:r w:rsidR="00F56201" w:rsidRPr="00565525">
          <w:rPr>
            <w:rStyle w:val="Hyperlink"/>
          </w:rPr>
          <w:t>believes</w:t>
        </w:r>
      </w:hyperlink>
      <w:r w:rsidR="00F56201">
        <w:t xml:space="preserve"> that the company “can become the leading provider of high quality, competitively priced follow-on biologics.”</w:t>
      </w:r>
      <w:r w:rsidR="00F56201">
        <w:rPr>
          <w:rStyle w:val="FootnoteReference"/>
        </w:rPr>
        <w:footnoteReference w:id="21"/>
      </w:r>
      <w:r w:rsidR="0086523C">
        <w:t xml:space="preserve">  </w:t>
      </w:r>
      <w:r w:rsidR="00F37331">
        <w:t xml:space="preserve">At a </w:t>
      </w:r>
      <w:hyperlink r:id="rId12" w:history="1">
        <w:r w:rsidR="00F37331" w:rsidRPr="00565525">
          <w:rPr>
            <w:rStyle w:val="Hyperlink"/>
          </w:rPr>
          <w:t>2008 business briefing</w:t>
        </w:r>
      </w:hyperlink>
      <w:r w:rsidR="00F37331">
        <w:t>, the company indicated that it planned to spend $1.5 billion in order to reach its goal of producing six new follow-on biologics by 2012.</w:t>
      </w:r>
      <w:r w:rsidR="00F37331">
        <w:rPr>
          <w:rStyle w:val="FootnoteReference"/>
        </w:rPr>
        <w:footnoteReference w:id="22"/>
      </w:r>
      <w:r w:rsidR="00F37331">
        <w:t xml:space="preserve">  Merck’s announcement stood in contrast to that of its big pharma brethren, of whom only Novartis</w:t>
      </w:r>
      <w:r w:rsidR="00D9361F">
        <w:t xml:space="preserve"> and Teva Pharmaceuticals</w:t>
      </w:r>
      <w:r w:rsidR="00F37331">
        <w:t xml:space="preserve"> had created </w:t>
      </w:r>
      <w:hyperlink r:id="rId13" w:history="1">
        <w:r w:rsidR="00F37331" w:rsidRPr="00565525">
          <w:rPr>
            <w:rStyle w:val="Hyperlink"/>
          </w:rPr>
          <w:t>divisions aimed at follow-on biologics</w:t>
        </w:r>
      </w:hyperlink>
      <w:r w:rsidR="00F37331">
        <w:t>.</w:t>
      </w:r>
      <w:r w:rsidR="00F37331">
        <w:rPr>
          <w:rStyle w:val="FootnoteReference"/>
        </w:rPr>
        <w:footnoteReference w:id="23"/>
      </w:r>
    </w:p>
    <w:p w:rsidR="003A4160" w:rsidRDefault="003A4160" w:rsidP="003A4160">
      <w:pPr>
        <w:spacing w:after="0" w:line="240" w:lineRule="auto"/>
      </w:pPr>
    </w:p>
    <w:p w:rsidR="000A59D6" w:rsidRDefault="00D9361F" w:rsidP="003A4160">
      <w:pPr>
        <w:spacing w:after="0" w:line="240" w:lineRule="auto"/>
      </w:pPr>
      <w:r>
        <w:tab/>
        <w:t xml:space="preserve">A key step in the advancement of Merck’s follow-on biologics program was </w:t>
      </w:r>
      <w:hyperlink r:id="rId14" w:history="1">
        <w:r w:rsidRPr="003E0C62">
          <w:rPr>
            <w:rStyle w:val="Hyperlink"/>
          </w:rPr>
          <w:t xml:space="preserve">the acquisition of Insmed </w:t>
        </w:r>
        <w:r w:rsidR="00EC656C" w:rsidRPr="003E0C62">
          <w:rPr>
            <w:rStyle w:val="Hyperlink"/>
          </w:rPr>
          <w:t xml:space="preserve">for $130 million </w:t>
        </w:r>
        <w:r w:rsidRPr="003E0C62">
          <w:rPr>
            <w:rStyle w:val="Hyperlink"/>
          </w:rPr>
          <w:t>in 2009</w:t>
        </w:r>
      </w:hyperlink>
      <w:r>
        <w:t>.</w:t>
      </w:r>
      <w:r>
        <w:rPr>
          <w:rStyle w:val="FootnoteReference"/>
        </w:rPr>
        <w:footnoteReference w:id="24"/>
      </w:r>
      <w:r>
        <w:t xml:space="preserve">  </w:t>
      </w:r>
      <w:r w:rsidR="00EC656C">
        <w:t>A developer of follow-on biologics focused on niche markets, Insmed</w:t>
      </w:r>
      <w:r w:rsidR="009E5D46">
        <w:t xml:space="preserve">’s </w:t>
      </w:r>
      <w:hyperlink r:id="rId15" w:history="1">
        <w:r w:rsidR="000A59D6" w:rsidRPr="003E0C62">
          <w:rPr>
            <w:rStyle w:val="Hyperlink"/>
          </w:rPr>
          <w:t>50,000 square-feet based in Boulder, Colorado and staff of 70 protein  experts</w:t>
        </w:r>
      </w:hyperlink>
      <w:r w:rsidR="000A59D6">
        <w:rPr>
          <w:rStyle w:val="FootnoteReference"/>
        </w:rPr>
        <w:footnoteReference w:id="25"/>
      </w:r>
      <w:r w:rsidR="000A59D6">
        <w:t xml:space="preserve"> are </w:t>
      </w:r>
      <w:r w:rsidR="009E5D46">
        <w:t>expected t</w:t>
      </w:r>
      <w:r w:rsidR="000A59D6">
        <w:t xml:space="preserve">o benefit Merck substantially.  Interestingly, Insmed’s acquisition was the result of a unique </w:t>
      </w:r>
      <w:hyperlink r:id="rId16" w:history="1">
        <w:r w:rsidR="000A59D6" w:rsidRPr="003E0C62">
          <w:rPr>
            <w:rStyle w:val="Hyperlink"/>
          </w:rPr>
          <w:t>viral marketing campaign</w:t>
        </w:r>
      </w:hyperlink>
      <w:r w:rsidR="000A59D6">
        <w:rPr>
          <w:rStyle w:val="FootnoteReference"/>
        </w:rPr>
        <w:footnoteReference w:id="26"/>
      </w:r>
      <w:r w:rsidR="000A59D6">
        <w:t xml:space="preserve"> that saw Insmed’s scientists appear on Youtube to tout the benefits of follow-on biologics.  In </w:t>
      </w:r>
      <w:r w:rsidR="009E5D46">
        <w:t xml:space="preserve">Merck had also boosted its follow-on biologics program in 2006, when it </w:t>
      </w:r>
      <w:hyperlink r:id="rId17" w:history="1">
        <w:r w:rsidR="009E5D46" w:rsidRPr="003E0C62">
          <w:rPr>
            <w:rStyle w:val="Hyperlink"/>
          </w:rPr>
          <w:t>acquired Glycofi</w:t>
        </w:r>
      </w:hyperlink>
      <w:r w:rsidR="009E5D46">
        <w:t xml:space="preserve">, a </w:t>
      </w:r>
      <w:r w:rsidR="007136BD">
        <w:t>biotechnology company based in New Hampshire.</w:t>
      </w:r>
      <w:r w:rsidR="007136BD">
        <w:rPr>
          <w:rStyle w:val="FootnoteReference"/>
        </w:rPr>
        <w:footnoteReference w:id="27"/>
      </w:r>
      <w:r w:rsidR="007136BD">
        <w:t xml:space="preserve">  </w:t>
      </w:r>
    </w:p>
    <w:p w:rsidR="003A4160" w:rsidRDefault="003A4160" w:rsidP="003A4160">
      <w:pPr>
        <w:spacing w:after="0" w:line="240" w:lineRule="auto"/>
      </w:pPr>
    </w:p>
    <w:p w:rsidR="00D9361F" w:rsidRDefault="000A59D6" w:rsidP="003A4160">
      <w:pPr>
        <w:spacing w:after="0" w:line="240" w:lineRule="auto"/>
        <w:ind w:firstLine="720"/>
      </w:pPr>
      <w:r>
        <w:t xml:space="preserve">However, </w:t>
      </w:r>
      <w:r w:rsidR="009E5D46">
        <w:t xml:space="preserve">Merck’s BioVentures program </w:t>
      </w:r>
      <w:r>
        <w:t xml:space="preserve">also </w:t>
      </w:r>
      <w:r w:rsidR="009E5D46">
        <w:t xml:space="preserve">suffered a setback in 2009 when it </w:t>
      </w:r>
      <w:hyperlink r:id="rId18" w:history="1">
        <w:r w:rsidR="009E5D46" w:rsidRPr="00565525">
          <w:rPr>
            <w:rStyle w:val="Hyperlink"/>
          </w:rPr>
          <w:t>announced the cancellation</w:t>
        </w:r>
      </w:hyperlink>
      <w:r w:rsidR="009E5D46">
        <w:t xml:space="preserve"> of a much-publicized follow-on biologic for Amgen’s Aranesp, an anti-anemia drug, due to lengthy and expensive safety testing.</w:t>
      </w:r>
      <w:r w:rsidR="009E5D46">
        <w:rPr>
          <w:rStyle w:val="FootnoteReference"/>
        </w:rPr>
        <w:footnoteReference w:id="28"/>
      </w:r>
      <w:r w:rsidR="009E5D46">
        <w:t xml:space="preserve">  At the time, Merck’s head of research and development maintained that the company had two other follow-on biologics in clinical development and expected about five to be in the final stages of testing by 2012.</w:t>
      </w:r>
      <w:r w:rsidR="009E5D46">
        <w:rPr>
          <w:rStyle w:val="FootnoteReference"/>
        </w:rPr>
        <w:footnoteReference w:id="29"/>
      </w:r>
      <w:r w:rsidR="009E5D46">
        <w:t xml:space="preserve"> </w:t>
      </w:r>
      <w:r w:rsidR="008B3B8B">
        <w:t xml:space="preserve">  Merck also gained </w:t>
      </w:r>
      <w:hyperlink r:id="rId19" w:history="1">
        <w:r w:rsidR="008B3B8B" w:rsidRPr="00565525">
          <w:rPr>
            <w:rStyle w:val="Hyperlink"/>
          </w:rPr>
          <w:t>competition in the follow-on biologics market from Pfizer</w:t>
        </w:r>
      </w:hyperlink>
      <w:r w:rsidR="008B3B8B">
        <w:t>, who is planning to launch two follow-on biologics in the next four or five years and ultimately plans to have 10-15 available.</w:t>
      </w:r>
      <w:r w:rsidR="008B3B8B">
        <w:rPr>
          <w:rStyle w:val="FootnoteReference"/>
        </w:rPr>
        <w:footnoteReference w:id="30"/>
      </w:r>
      <w:r w:rsidR="008B3B8B">
        <w:t xml:space="preserve">   </w:t>
      </w:r>
    </w:p>
    <w:p w:rsidR="003A4160" w:rsidRDefault="003A4160" w:rsidP="003A4160">
      <w:pPr>
        <w:spacing w:after="0" w:line="240" w:lineRule="auto"/>
        <w:ind w:firstLine="720"/>
      </w:pPr>
    </w:p>
    <w:p w:rsidR="000A59D6" w:rsidRPr="00C9766F" w:rsidRDefault="00545334" w:rsidP="003A4160">
      <w:pPr>
        <w:spacing w:after="0" w:line="240" w:lineRule="auto"/>
        <w:ind w:firstLine="720"/>
      </w:pPr>
      <w:r>
        <w:t xml:space="preserve">Merck’s foresight has placed it in a position to be </w:t>
      </w:r>
      <w:r w:rsidR="00541BE5">
        <w:t xml:space="preserve">a leader of the follow-on </w:t>
      </w:r>
      <w:r w:rsidR="00CF0261">
        <w:t>biologics industry.  Indeed, it appears that the current status of the follow-on biologics industry can be described as a “two-horse race” between Merck and Israeli pharmaceuticals giant Teva for market dominance.</w:t>
      </w:r>
      <w:r w:rsidR="00CF0261">
        <w:rPr>
          <w:rStyle w:val="FootnoteReference"/>
        </w:rPr>
        <w:footnoteReference w:id="31"/>
      </w:r>
      <w:r w:rsidR="00111BEE">
        <w:t xml:space="preserve">  The competition between these two companies also demonstrates the high barriers to entry that characterize the follow-on biologics market.  In the words of </w:t>
      </w:r>
      <w:r w:rsidR="00A32807">
        <w:t>William Marth, president and CEO of Teva’s North American branch, “[w]hat you need to invest to get into that market [is] $100 million to $150 million per product entry, and . . . eight to 10 of them in your basket in order to come to the market with a really powerful offering.”</w:t>
      </w:r>
      <w:r w:rsidR="00A32807">
        <w:rPr>
          <w:rStyle w:val="FootnoteReference"/>
        </w:rPr>
        <w:footnoteReference w:id="32"/>
      </w:r>
    </w:p>
    <w:p w:rsidR="00B80350" w:rsidRDefault="00311874" w:rsidP="003A4160">
      <w:pPr>
        <w:spacing w:after="0" w:line="240" w:lineRule="auto"/>
      </w:pPr>
      <w:r>
        <w:tab/>
      </w:r>
      <w:r w:rsidR="00FC6CA5">
        <w:tab/>
      </w:r>
      <w:r w:rsidR="000C73DD">
        <w:t xml:space="preserve"> </w:t>
      </w:r>
    </w:p>
    <w:sectPr w:rsidR="00B80350" w:rsidSect="00500633">
      <w:footerReference w:type="default" r:id="rId20"/>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695" w:rsidRDefault="00A03695" w:rsidP="00B80350">
      <w:pPr>
        <w:spacing w:after="0" w:line="240" w:lineRule="auto"/>
      </w:pPr>
      <w:r>
        <w:separator/>
      </w:r>
    </w:p>
  </w:endnote>
  <w:endnote w:type="continuationSeparator" w:id="0">
    <w:p w:rsidR="00A03695" w:rsidRDefault="00A03695" w:rsidP="00B80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005365"/>
      <w:docPartObj>
        <w:docPartGallery w:val="Page Numbers (Bottom of Page)"/>
        <w:docPartUnique/>
      </w:docPartObj>
    </w:sdtPr>
    <w:sdtEndPr>
      <w:rPr>
        <w:noProof/>
      </w:rPr>
    </w:sdtEndPr>
    <w:sdtContent>
      <w:p w:rsidR="00541BE5" w:rsidRDefault="00500633">
        <w:pPr>
          <w:pStyle w:val="Footer"/>
          <w:jc w:val="center"/>
        </w:pPr>
        <w:fldSimple w:instr=" PAGE   \* MERGEFORMAT ">
          <w:r w:rsidR="00465446">
            <w:rPr>
              <w:noProof/>
            </w:rPr>
            <w:t>4</w:t>
          </w:r>
        </w:fldSimple>
      </w:p>
    </w:sdtContent>
  </w:sdt>
  <w:p w:rsidR="00541BE5" w:rsidRDefault="00541BE5">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695" w:rsidRDefault="00A03695" w:rsidP="00B80350">
      <w:pPr>
        <w:spacing w:after="0" w:line="240" w:lineRule="auto"/>
      </w:pPr>
      <w:r>
        <w:separator/>
      </w:r>
    </w:p>
  </w:footnote>
  <w:footnote w:type="continuationSeparator" w:id="0">
    <w:p w:rsidR="00A03695" w:rsidRDefault="00A03695" w:rsidP="00B80350">
      <w:pPr>
        <w:spacing w:after="0" w:line="240" w:lineRule="auto"/>
      </w:pPr>
      <w:r>
        <w:continuationSeparator/>
      </w:r>
    </w:p>
  </w:footnote>
  <w:footnote w:id="1">
    <w:p w:rsidR="00B80350" w:rsidRPr="003A4160" w:rsidRDefault="00B80350">
      <w:pPr>
        <w:pStyle w:val="FootnoteText"/>
        <w:rPr>
          <w:sz w:val="24"/>
          <w:szCs w:val="24"/>
        </w:rPr>
      </w:pPr>
      <w:r w:rsidRPr="003A4160">
        <w:rPr>
          <w:rStyle w:val="FootnoteReference"/>
          <w:sz w:val="24"/>
          <w:szCs w:val="24"/>
        </w:rPr>
        <w:footnoteRef/>
      </w:r>
      <w:r w:rsidRPr="003A4160">
        <w:rPr>
          <w:sz w:val="24"/>
          <w:szCs w:val="24"/>
        </w:rPr>
        <w:t xml:space="preserve"> </w:t>
      </w:r>
      <w:r w:rsidR="009A5BB0" w:rsidRPr="009A5BB0">
        <w:rPr>
          <w:sz w:val="24"/>
          <w:szCs w:val="24"/>
        </w:rPr>
        <w:t>John E. Calfee</w:t>
      </w:r>
      <w:r w:rsidR="009A5BB0">
        <w:rPr>
          <w:sz w:val="24"/>
          <w:szCs w:val="24"/>
        </w:rPr>
        <w:t xml:space="preserve">, </w:t>
      </w:r>
      <w:r w:rsidR="009A5BB0" w:rsidRPr="009A5BB0">
        <w:rPr>
          <w:i/>
          <w:sz w:val="24"/>
          <w:szCs w:val="24"/>
        </w:rPr>
        <w:t>Follow-on biologics are not like ordinary generics, and therefore require Congress to exercise a deft regulatory hand</w:t>
      </w:r>
      <w:r w:rsidR="009A5BB0">
        <w:rPr>
          <w:sz w:val="24"/>
          <w:szCs w:val="24"/>
        </w:rPr>
        <w:t xml:space="preserve">, </w:t>
      </w:r>
      <w:r w:rsidR="009A5BB0" w:rsidRPr="009A5BB0">
        <w:rPr>
          <w:smallCaps/>
          <w:sz w:val="24"/>
          <w:szCs w:val="24"/>
        </w:rPr>
        <w:t>AEI Online</w:t>
      </w:r>
      <w:r w:rsidR="009A5BB0">
        <w:rPr>
          <w:sz w:val="24"/>
          <w:szCs w:val="24"/>
        </w:rPr>
        <w:t>, April 2007</w:t>
      </w:r>
      <w:r w:rsidR="009A5BB0" w:rsidRPr="009A5BB0">
        <w:rPr>
          <w:i/>
          <w:sz w:val="24"/>
          <w:szCs w:val="24"/>
        </w:rPr>
        <w:t>, available at</w:t>
      </w:r>
      <w:r w:rsidR="009A5BB0">
        <w:rPr>
          <w:sz w:val="24"/>
          <w:szCs w:val="24"/>
        </w:rPr>
        <w:t xml:space="preserve"> </w:t>
      </w:r>
      <w:hyperlink r:id="rId1" w:history="1">
        <w:r w:rsidRPr="003A4160">
          <w:rPr>
            <w:rStyle w:val="Hyperlink"/>
            <w:sz w:val="24"/>
            <w:szCs w:val="24"/>
          </w:rPr>
          <w:t>http://www.aei.org/outlook/26010</w:t>
        </w:r>
      </w:hyperlink>
      <w:r w:rsidR="009A5BB0">
        <w:rPr>
          <w:sz w:val="24"/>
          <w:szCs w:val="24"/>
        </w:rPr>
        <w:t>.</w:t>
      </w:r>
      <w:r w:rsidRPr="003A4160">
        <w:rPr>
          <w:sz w:val="24"/>
          <w:szCs w:val="24"/>
        </w:rPr>
        <w:t xml:space="preserve"> </w:t>
      </w:r>
    </w:p>
  </w:footnote>
  <w:footnote w:id="2">
    <w:p w:rsidR="00A21BEB" w:rsidRPr="003A4160" w:rsidRDefault="00A21BEB">
      <w:pPr>
        <w:pStyle w:val="FootnoteText"/>
        <w:rPr>
          <w:sz w:val="24"/>
          <w:szCs w:val="24"/>
        </w:rPr>
      </w:pPr>
      <w:r w:rsidRPr="003A4160">
        <w:rPr>
          <w:rStyle w:val="FootnoteReference"/>
          <w:sz w:val="24"/>
          <w:szCs w:val="24"/>
        </w:rPr>
        <w:footnoteRef/>
      </w:r>
      <w:r w:rsidRPr="003A4160">
        <w:rPr>
          <w:sz w:val="24"/>
          <w:szCs w:val="24"/>
        </w:rPr>
        <w:t xml:space="preserve"> </w:t>
      </w:r>
      <w:r w:rsidR="009A5BB0" w:rsidRPr="000572C3">
        <w:rPr>
          <w:smallCaps/>
          <w:sz w:val="24"/>
          <w:szCs w:val="24"/>
        </w:rPr>
        <w:t xml:space="preserve">Wendy </w:t>
      </w:r>
      <w:r w:rsidR="00881C45" w:rsidRPr="000572C3">
        <w:rPr>
          <w:smallCaps/>
          <w:sz w:val="24"/>
          <w:szCs w:val="24"/>
        </w:rPr>
        <w:t>H. Schacht &amp; John R. Thomas, Follow-On Biologics: Intellectual Property and Innovation Issues</w:t>
      </w:r>
      <w:r w:rsidR="00881C45">
        <w:rPr>
          <w:sz w:val="24"/>
          <w:szCs w:val="24"/>
        </w:rPr>
        <w:t xml:space="preserve"> </w:t>
      </w:r>
      <w:r w:rsidR="000572C3">
        <w:rPr>
          <w:sz w:val="24"/>
          <w:szCs w:val="24"/>
        </w:rPr>
        <w:t xml:space="preserve">2 </w:t>
      </w:r>
      <w:r w:rsidR="000572C3" w:rsidRPr="000572C3">
        <w:rPr>
          <w:sz w:val="24"/>
          <w:szCs w:val="24"/>
        </w:rPr>
        <w:t xml:space="preserve">(Cong. Research Serv., CRS Report for Congress Order Code RL </w:t>
      </w:r>
      <w:r w:rsidR="000572C3">
        <w:rPr>
          <w:sz w:val="24"/>
          <w:szCs w:val="24"/>
        </w:rPr>
        <w:t>33901</w:t>
      </w:r>
      <w:r w:rsidR="000572C3" w:rsidRPr="000572C3">
        <w:rPr>
          <w:sz w:val="24"/>
          <w:szCs w:val="24"/>
        </w:rPr>
        <w:t xml:space="preserve">, </w:t>
      </w:r>
      <w:r w:rsidR="000572C3">
        <w:rPr>
          <w:sz w:val="24"/>
          <w:szCs w:val="24"/>
        </w:rPr>
        <w:t xml:space="preserve">Jan. </w:t>
      </w:r>
      <w:r w:rsidR="000572C3" w:rsidRPr="000572C3">
        <w:rPr>
          <w:sz w:val="24"/>
          <w:szCs w:val="24"/>
        </w:rPr>
        <w:t>6, 20</w:t>
      </w:r>
      <w:r w:rsidR="000572C3">
        <w:rPr>
          <w:sz w:val="24"/>
          <w:szCs w:val="24"/>
        </w:rPr>
        <w:t>10</w:t>
      </w:r>
      <w:r w:rsidR="000572C3" w:rsidRPr="000572C3">
        <w:rPr>
          <w:sz w:val="24"/>
          <w:szCs w:val="24"/>
        </w:rPr>
        <w:t>)</w:t>
      </w:r>
      <w:r w:rsidR="000572C3">
        <w:rPr>
          <w:sz w:val="24"/>
          <w:szCs w:val="24"/>
        </w:rPr>
        <w:t>.</w:t>
      </w:r>
    </w:p>
  </w:footnote>
  <w:footnote w:id="3">
    <w:p w:rsidR="00A21BEB" w:rsidRPr="003A4160" w:rsidRDefault="00A21BEB">
      <w:pPr>
        <w:pStyle w:val="FootnoteText"/>
        <w:rPr>
          <w:sz w:val="24"/>
          <w:szCs w:val="24"/>
        </w:rPr>
      </w:pPr>
      <w:r w:rsidRPr="003A4160">
        <w:rPr>
          <w:rStyle w:val="FootnoteReference"/>
          <w:sz w:val="24"/>
          <w:szCs w:val="24"/>
        </w:rPr>
        <w:footnoteRef/>
      </w:r>
      <w:r w:rsidRPr="003A4160">
        <w:rPr>
          <w:sz w:val="24"/>
          <w:szCs w:val="24"/>
        </w:rPr>
        <w:t xml:space="preserve"> </w:t>
      </w:r>
      <w:r w:rsidR="000572C3" w:rsidRPr="000572C3">
        <w:rPr>
          <w:i/>
          <w:sz w:val="24"/>
          <w:szCs w:val="24"/>
        </w:rPr>
        <w:t>Id.</w:t>
      </w:r>
      <w:r w:rsidR="000572C3">
        <w:rPr>
          <w:sz w:val="24"/>
          <w:szCs w:val="24"/>
        </w:rPr>
        <w:t xml:space="preserve"> at 3. </w:t>
      </w:r>
    </w:p>
  </w:footnote>
  <w:footnote w:id="4">
    <w:p w:rsidR="00732597" w:rsidRPr="003A4160" w:rsidRDefault="00732597">
      <w:pPr>
        <w:pStyle w:val="FootnoteText"/>
        <w:rPr>
          <w:sz w:val="24"/>
          <w:szCs w:val="24"/>
        </w:rPr>
      </w:pPr>
      <w:r w:rsidRPr="003A4160">
        <w:rPr>
          <w:rStyle w:val="FootnoteReference"/>
          <w:sz w:val="24"/>
          <w:szCs w:val="24"/>
        </w:rPr>
        <w:footnoteRef/>
      </w:r>
      <w:r w:rsidRPr="003A4160">
        <w:rPr>
          <w:sz w:val="24"/>
          <w:szCs w:val="24"/>
        </w:rPr>
        <w:t xml:space="preserve"> </w:t>
      </w:r>
      <w:r w:rsidR="000572C3" w:rsidRPr="000572C3">
        <w:rPr>
          <w:i/>
          <w:sz w:val="24"/>
          <w:szCs w:val="24"/>
        </w:rPr>
        <w:t>Id.</w:t>
      </w:r>
      <w:r w:rsidR="000572C3">
        <w:rPr>
          <w:sz w:val="24"/>
          <w:szCs w:val="24"/>
        </w:rPr>
        <w:t xml:space="preserve"> </w:t>
      </w:r>
    </w:p>
  </w:footnote>
  <w:footnote w:id="5">
    <w:p w:rsidR="006C57E3" w:rsidRPr="003A4160" w:rsidRDefault="006C57E3">
      <w:pPr>
        <w:pStyle w:val="FootnoteText"/>
        <w:rPr>
          <w:sz w:val="24"/>
          <w:szCs w:val="24"/>
        </w:rPr>
      </w:pPr>
      <w:r w:rsidRPr="003A4160">
        <w:rPr>
          <w:rStyle w:val="FootnoteReference"/>
          <w:sz w:val="24"/>
          <w:szCs w:val="24"/>
        </w:rPr>
        <w:footnoteRef/>
      </w:r>
      <w:r w:rsidRPr="003A4160">
        <w:rPr>
          <w:sz w:val="24"/>
          <w:szCs w:val="24"/>
        </w:rPr>
        <w:t xml:space="preserve"> 42 U.S.C. § 262(i) (2006).</w:t>
      </w:r>
    </w:p>
  </w:footnote>
  <w:footnote w:id="6">
    <w:p w:rsidR="00A84953" w:rsidRPr="003A4160" w:rsidRDefault="00A84953">
      <w:pPr>
        <w:pStyle w:val="FootnoteText"/>
        <w:rPr>
          <w:sz w:val="24"/>
          <w:szCs w:val="24"/>
        </w:rPr>
      </w:pPr>
      <w:r w:rsidRPr="003A4160">
        <w:rPr>
          <w:rStyle w:val="FootnoteReference"/>
          <w:sz w:val="24"/>
          <w:szCs w:val="24"/>
        </w:rPr>
        <w:footnoteRef/>
      </w:r>
      <w:r w:rsidRPr="003A4160">
        <w:rPr>
          <w:sz w:val="24"/>
          <w:szCs w:val="24"/>
        </w:rPr>
        <w:t xml:space="preserve"> </w:t>
      </w:r>
      <w:r w:rsidR="000572C3" w:rsidRPr="000572C3">
        <w:rPr>
          <w:smallCaps/>
          <w:sz w:val="24"/>
          <w:szCs w:val="24"/>
        </w:rPr>
        <w:t>Wendy H. Schacht &amp; John R. Thomas, Follow-On Biologics: Intellectual Property and Innovation Issues</w:t>
      </w:r>
      <w:r w:rsidR="000572C3">
        <w:rPr>
          <w:sz w:val="24"/>
          <w:szCs w:val="24"/>
        </w:rPr>
        <w:t xml:space="preserve"> 1 </w:t>
      </w:r>
      <w:r w:rsidR="000572C3" w:rsidRPr="000572C3">
        <w:rPr>
          <w:sz w:val="24"/>
          <w:szCs w:val="24"/>
        </w:rPr>
        <w:t xml:space="preserve">(Cong. Research Serv., CRS Report for Congress Order Code RL </w:t>
      </w:r>
      <w:r w:rsidR="000572C3">
        <w:rPr>
          <w:sz w:val="24"/>
          <w:szCs w:val="24"/>
        </w:rPr>
        <w:t>33901</w:t>
      </w:r>
      <w:r w:rsidR="000572C3" w:rsidRPr="000572C3">
        <w:rPr>
          <w:sz w:val="24"/>
          <w:szCs w:val="24"/>
        </w:rPr>
        <w:t xml:space="preserve">, </w:t>
      </w:r>
      <w:r w:rsidR="000572C3">
        <w:rPr>
          <w:sz w:val="24"/>
          <w:szCs w:val="24"/>
        </w:rPr>
        <w:t xml:space="preserve">Jan. </w:t>
      </w:r>
      <w:r w:rsidR="000572C3" w:rsidRPr="000572C3">
        <w:rPr>
          <w:sz w:val="24"/>
          <w:szCs w:val="24"/>
        </w:rPr>
        <w:t>6, 20</w:t>
      </w:r>
      <w:r w:rsidR="000572C3">
        <w:rPr>
          <w:sz w:val="24"/>
          <w:szCs w:val="24"/>
        </w:rPr>
        <w:t>10</w:t>
      </w:r>
      <w:r w:rsidR="000572C3" w:rsidRPr="000572C3">
        <w:rPr>
          <w:sz w:val="24"/>
          <w:szCs w:val="24"/>
        </w:rPr>
        <w:t>)</w:t>
      </w:r>
      <w:r w:rsidR="000572C3">
        <w:rPr>
          <w:sz w:val="24"/>
          <w:szCs w:val="24"/>
        </w:rPr>
        <w:t>.</w:t>
      </w:r>
    </w:p>
  </w:footnote>
  <w:footnote w:id="7">
    <w:p w:rsidR="000C73DD" w:rsidRPr="003A4160" w:rsidRDefault="000C73DD">
      <w:pPr>
        <w:pStyle w:val="FootnoteText"/>
        <w:rPr>
          <w:sz w:val="24"/>
          <w:szCs w:val="24"/>
        </w:rPr>
      </w:pPr>
      <w:r w:rsidRPr="003A4160">
        <w:rPr>
          <w:rStyle w:val="FootnoteReference"/>
          <w:sz w:val="24"/>
          <w:szCs w:val="24"/>
        </w:rPr>
        <w:footnoteRef/>
      </w:r>
      <w:r w:rsidRPr="003A4160">
        <w:rPr>
          <w:sz w:val="24"/>
          <w:szCs w:val="24"/>
        </w:rPr>
        <w:t xml:space="preserve"> </w:t>
      </w:r>
      <w:r w:rsidR="000572C3" w:rsidRPr="000572C3">
        <w:rPr>
          <w:i/>
          <w:sz w:val="24"/>
          <w:szCs w:val="24"/>
        </w:rPr>
        <w:t>Id.</w:t>
      </w:r>
      <w:r w:rsidR="000572C3">
        <w:rPr>
          <w:sz w:val="24"/>
          <w:szCs w:val="24"/>
        </w:rPr>
        <w:t xml:space="preserve"> at 2; </w:t>
      </w:r>
      <w:r w:rsidR="00883A29" w:rsidRPr="00D33D70">
        <w:rPr>
          <w:i/>
          <w:sz w:val="24"/>
          <w:szCs w:val="24"/>
        </w:rPr>
        <w:t>see also</w:t>
      </w:r>
      <w:r w:rsidR="00883A29" w:rsidRPr="003A4160">
        <w:rPr>
          <w:sz w:val="24"/>
          <w:szCs w:val="24"/>
        </w:rPr>
        <w:t xml:space="preserve"> </w:t>
      </w:r>
      <w:r w:rsidR="00E12BC9" w:rsidRPr="00E12BC9">
        <w:rPr>
          <w:sz w:val="24"/>
          <w:szCs w:val="24"/>
        </w:rPr>
        <w:t>Ludwig Burger</w:t>
      </w:r>
      <w:r w:rsidR="00E12BC9">
        <w:rPr>
          <w:sz w:val="24"/>
          <w:szCs w:val="24"/>
        </w:rPr>
        <w:t xml:space="preserve">, </w:t>
      </w:r>
      <w:r w:rsidR="00E12BC9" w:rsidRPr="00E12BC9">
        <w:rPr>
          <w:i/>
          <w:sz w:val="24"/>
          <w:szCs w:val="24"/>
        </w:rPr>
        <w:t>Battle over Biosimilar Drugs is only for the Brave</w:t>
      </w:r>
      <w:r w:rsidR="00E12BC9">
        <w:rPr>
          <w:sz w:val="24"/>
          <w:szCs w:val="24"/>
        </w:rPr>
        <w:t xml:space="preserve">, </w:t>
      </w:r>
      <w:r w:rsidR="00E12BC9" w:rsidRPr="00E12BC9">
        <w:rPr>
          <w:smallCaps/>
          <w:sz w:val="24"/>
          <w:szCs w:val="24"/>
        </w:rPr>
        <w:t>Reuters</w:t>
      </w:r>
      <w:r w:rsidR="00E12BC9">
        <w:rPr>
          <w:sz w:val="24"/>
          <w:szCs w:val="24"/>
        </w:rPr>
        <w:t xml:space="preserve">,  July 2, 2010, </w:t>
      </w:r>
      <w:r w:rsidR="00E12BC9" w:rsidRPr="00E12BC9">
        <w:rPr>
          <w:i/>
          <w:sz w:val="24"/>
          <w:szCs w:val="24"/>
        </w:rPr>
        <w:t>available at</w:t>
      </w:r>
      <w:r w:rsidR="00E12BC9">
        <w:rPr>
          <w:sz w:val="24"/>
          <w:szCs w:val="24"/>
        </w:rPr>
        <w:t xml:space="preserve"> </w:t>
      </w:r>
      <w:hyperlink r:id="rId2" w:history="1">
        <w:r w:rsidR="00883A29" w:rsidRPr="003A4160">
          <w:rPr>
            <w:rStyle w:val="Hyperlink"/>
            <w:sz w:val="24"/>
            <w:szCs w:val="24"/>
          </w:rPr>
          <w:t>http://uk.reuters.com/article/idUKLNE66102R20100702</w:t>
        </w:r>
      </w:hyperlink>
      <w:r w:rsidR="00883A29" w:rsidRPr="003A4160">
        <w:rPr>
          <w:sz w:val="24"/>
          <w:szCs w:val="24"/>
        </w:rPr>
        <w:t xml:space="preserve"> (noting that “90 percent of today's biotechnology drugs will be off patent” by 2020.).</w:t>
      </w:r>
    </w:p>
  </w:footnote>
  <w:footnote w:id="8">
    <w:p w:rsidR="000C73DD" w:rsidRPr="003A4160" w:rsidRDefault="000C73DD">
      <w:pPr>
        <w:pStyle w:val="FootnoteText"/>
        <w:rPr>
          <w:sz w:val="24"/>
          <w:szCs w:val="24"/>
        </w:rPr>
      </w:pPr>
      <w:r w:rsidRPr="003A4160">
        <w:rPr>
          <w:rStyle w:val="FootnoteReference"/>
          <w:sz w:val="24"/>
          <w:szCs w:val="24"/>
        </w:rPr>
        <w:footnoteRef/>
      </w:r>
      <w:r w:rsidRPr="003A4160">
        <w:rPr>
          <w:sz w:val="24"/>
          <w:szCs w:val="24"/>
        </w:rPr>
        <w:t xml:space="preserve"> </w:t>
      </w:r>
      <w:r w:rsidR="00E12BC9" w:rsidRPr="00E12BC9">
        <w:rPr>
          <w:sz w:val="24"/>
          <w:szCs w:val="24"/>
        </w:rPr>
        <w:t>Mari Edlin</w:t>
      </w:r>
      <w:r w:rsidR="00E12BC9">
        <w:rPr>
          <w:sz w:val="24"/>
          <w:szCs w:val="24"/>
        </w:rPr>
        <w:t xml:space="preserve">, </w:t>
      </w:r>
      <w:r w:rsidR="00E12BC9" w:rsidRPr="00E12BC9">
        <w:rPr>
          <w:i/>
          <w:sz w:val="24"/>
          <w:szCs w:val="24"/>
        </w:rPr>
        <w:t>PPACA Creates Approval Pathway for Follow-On Biologics</w:t>
      </w:r>
      <w:r w:rsidR="00E12BC9">
        <w:rPr>
          <w:sz w:val="24"/>
          <w:szCs w:val="24"/>
        </w:rPr>
        <w:t xml:space="preserve">, </w:t>
      </w:r>
      <w:r w:rsidR="00E12BC9" w:rsidRPr="00E12BC9">
        <w:rPr>
          <w:smallCaps/>
          <w:sz w:val="24"/>
          <w:szCs w:val="24"/>
        </w:rPr>
        <w:t>Modern Medicine</w:t>
      </w:r>
      <w:r w:rsidR="00E12BC9">
        <w:rPr>
          <w:sz w:val="24"/>
          <w:szCs w:val="24"/>
        </w:rPr>
        <w:t>, Aug. 15, 2010</w:t>
      </w:r>
      <w:r w:rsidR="00E12BC9" w:rsidRPr="00E12BC9">
        <w:rPr>
          <w:i/>
          <w:sz w:val="24"/>
          <w:szCs w:val="24"/>
        </w:rPr>
        <w:t>, available at</w:t>
      </w:r>
      <w:r w:rsidR="00E12BC9">
        <w:rPr>
          <w:sz w:val="24"/>
          <w:szCs w:val="24"/>
        </w:rPr>
        <w:t xml:space="preserve"> </w:t>
      </w:r>
      <w:hyperlink r:id="rId3" w:history="1">
        <w:r w:rsidRPr="003A4160">
          <w:rPr>
            <w:rStyle w:val="Hyperlink"/>
            <w:sz w:val="24"/>
            <w:szCs w:val="24"/>
          </w:rPr>
          <w:t>http://www.modernmedicine.com/modernmedicine/Chains+%26+Business/PPACA-creates-approval-pathway-for-follow-on-biolo/ArticleStandard/Article/detail/680424?contextCategoryId=40159</w:t>
        </w:r>
      </w:hyperlink>
      <w:r w:rsidR="00E12BC9">
        <w:rPr>
          <w:sz w:val="24"/>
          <w:szCs w:val="24"/>
        </w:rPr>
        <w:t>.</w:t>
      </w:r>
      <w:r w:rsidRPr="003A4160">
        <w:rPr>
          <w:sz w:val="24"/>
          <w:szCs w:val="24"/>
        </w:rPr>
        <w:t xml:space="preserve"> </w:t>
      </w:r>
    </w:p>
  </w:footnote>
  <w:footnote w:id="9">
    <w:p w:rsidR="006B1FB0" w:rsidRPr="003A4160" w:rsidRDefault="006B1FB0">
      <w:pPr>
        <w:pStyle w:val="FootnoteText"/>
        <w:rPr>
          <w:sz w:val="24"/>
          <w:szCs w:val="24"/>
        </w:rPr>
      </w:pPr>
      <w:r w:rsidRPr="003A4160">
        <w:rPr>
          <w:rStyle w:val="FootnoteReference"/>
          <w:sz w:val="24"/>
          <w:szCs w:val="24"/>
        </w:rPr>
        <w:footnoteRef/>
      </w:r>
      <w:r w:rsidRPr="003A4160">
        <w:rPr>
          <w:sz w:val="24"/>
          <w:szCs w:val="24"/>
        </w:rPr>
        <w:t xml:space="preserve"> </w:t>
      </w:r>
      <w:r w:rsidR="007850A2" w:rsidRPr="003A4160">
        <w:rPr>
          <w:sz w:val="24"/>
          <w:szCs w:val="24"/>
        </w:rPr>
        <w:t>Pub. L. No. 98-417, 98 Stat. 1585 (codified as amended at 21 U.S.C. § 355 (2006)).</w:t>
      </w:r>
    </w:p>
  </w:footnote>
  <w:footnote w:id="10">
    <w:p w:rsidR="00311874" w:rsidRPr="003A4160" w:rsidRDefault="00311874">
      <w:pPr>
        <w:pStyle w:val="FootnoteText"/>
        <w:rPr>
          <w:sz w:val="24"/>
          <w:szCs w:val="24"/>
        </w:rPr>
      </w:pPr>
      <w:r w:rsidRPr="003A4160">
        <w:rPr>
          <w:rStyle w:val="FootnoteReference"/>
          <w:sz w:val="24"/>
          <w:szCs w:val="24"/>
        </w:rPr>
        <w:footnoteRef/>
      </w:r>
      <w:r w:rsidRPr="003A4160">
        <w:rPr>
          <w:sz w:val="24"/>
          <w:szCs w:val="24"/>
        </w:rPr>
        <w:t xml:space="preserve"> </w:t>
      </w:r>
      <w:r w:rsidRPr="003A4160">
        <w:rPr>
          <w:i/>
          <w:sz w:val="24"/>
          <w:szCs w:val="24"/>
        </w:rPr>
        <w:t>See</w:t>
      </w:r>
      <w:r w:rsidRPr="003A4160">
        <w:rPr>
          <w:sz w:val="24"/>
          <w:szCs w:val="24"/>
        </w:rPr>
        <w:t xml:space="preserve"> 21 U.S.C. § 355. </w:t>
      </w:r>
    </w:p>
  </w:footnote>
  <w:footnote w:id="11">
    <w:p w:rsidR="00B85F62" w:rsidRPr="003A4160" w:rsidRDefault="00B85F62">
      <w:pPr>
        <w:pStyle w:val="FootnoteText"/>
        <w:rPr>
          <w:sz w:val="24"/>
          <w:szCs w:val="24"/>
        </w:rPr>
      </w:pPr>
      <w:r w:rsidRPr="003A4160">
        <w:rPr>
          <w:rStyle w:val="FootnoteReference"/>
          <w:sz w:val="24"/>
          <w:szCs w:val="24"/>
        </w:rPr>
        <w:footnoteRef/>
      </w:r>
      <w:r w:rsidRPr="003A4160">
        <w:rPr>
          <w:sz w:val="24"/>
          <w:szCs w:val="24"/>
        </w:rPr>
        <w:t xml:space="preserve"> </w:t>
      </w:r>
      <w:r w:rsidR="00E12BC9">
        <w:rPr>
          <w:smallCaps/>
          <w:sz w:val="24"/>
          <w:szCs w:val="24"/>
        </w:rPr>
        <w:t>Judith A. Johnson</w:t>
      </w:r>
      <w:r w:rsidR="00E12BC9" w:rsidRPr="000572C3">
        <w:rPr>
          <w:smallCaps/>
          <w:sz w:val="24"/>
          <w:szCs w:val="24"/>
        </w:rPr>
        <w:t xml:space="preserve">, </w:t>
      </w:r>
      <w:r w:rsidR="00E12BC9">
        <w:rPr>
          <w:smallCaps/>
          <w:sz w:val="24"/>
          <w:szCs w:val="24"/>
        </w:rPr>
        <w:t>FDA Regulation of Follow-On Biologics 7</w:t>
      </w:r>
      <w:r w:rsidR="00E12BC9">
        <w:rPr>
          <w:sz w:val="24"/>
          <w:szCs w:val="24"/>
        </w:rPr>
        <w:t xml:space="preserve"> </w:t>
      </w:r>
      <w:r w:rsidR="00E12BC9" w:rsidRPr="000572C3">
        <w:rPr>
          <w:sz w:val="24"/>
          <w:szCs w:val="24"/>
        </w:rPr>
        <w:t xml:space="preserve">(Cong. Research Serv., CRS Report for Congress Order Code RL </w:t>
      </w:r>
      <w:r w:rsidR="00E12BC9">
        <w:rPr>
          <w:sz w:val="24"/>
          <w:szCs w:val="24"/>
        </w:rPr>
        <w:t>34045</w:t>
      </w:r>
      <w:r w:rsidR="00E12BC9" w:rsidRPr="000572C3">
        <w:rPr>
          <w:sz w:val="24"/>
          <w:szCs w:val="24"/>
        </w:rPr>
        <w:t xml:space="preserve">, </w:t>
      </w:r>
      <w:r w:rsidR="00E12BC9">
        <w:rPr>
          <w:sz w:val="24"/>
          <w:szCs w:val="24"/>
        </w:rPr>
        <w:t>Apr. 2</w:t>
      </w:r>
      <w:r w:rsidR="00E12BC9" w:rsidRPr="000572C3">
        <w:rPr>
          <w:sz w:val="24"/>
          <w:szCs w:val="24"/>
        </w:rPr>
        <w:t>6, 20</w:t>
      </w:r>
      <w:r w:rsidR="00E12BC9">
        <w:rPr>
          <w:sz w:val="24"/>
          <w:szCs w:val="24"/>
        </w:rPr>
        <w:t>10</w:t>
      </w:r>
      <w:r w:rsidR="00E12BC9" w:rsidRPr="000572C3">
        <w:rPr>
          <w:sz w:val="24"/>
          <w:szCs w:val="24"/>
        </w:rPr>
        <w:t>)</w:t>
      </w:r>
      <w:r w:rsidR="00E12BC9">
        <w:rPr>
          <w:sz w:val="24"/>
          <w:szCs w:val="24"/>
        </w:rPr>
        <w:t>.</w:t>
      </w:r>
    </w:p>
  </w:footnote>
  <w:footnote w:id="12">
    <w:p w:rsidR="00B85F62" w:rsidRPr="003A4160" w:rsidRDefault="00B85F62">
      <w:pPr>
        <w:pStyle w:val="FootnoteText"/>
        <w:rPr>
          <w:sz w:val="24"/>
          <w:szCs w:val="24"/>
        </w:rPr>
      </w:pPr>
      <w:r w:rsidRPr="003A4160">
        <w:rPr>
          <w:rStyle w:val="FootnoteReference"/>
          <w:sz w:val="24"/>
          <w:szCs w:val="24"/>
        </w:rPr>
        <w:footnoteRef/>
      </w:r>
      <w:r w:rsidRPr="003A4160">
        <w:rPr>
          <w:sz w:val="24"/>
          <w:szCs w:val="24"/>
        </w:rPr>
        <w:t xml:space="preserve"> </w:t>
      </w:r>
      <w:r w:rsidR="00E12BC9" w:rsidRPr="00E12BC9">
        <w:rPr>
          <w:i/>
          <w:sz w:val="24"/>
          <w:szCs w:val="24"/>
        </w:rPr>
        <w:t>Id.</w:t>
      </w:r>
      <w:r w:rsidR="00E12BC9">
        <w:rPr>
          <w:sz w:val="24"/>
          <w:szCs w:val="24"/>
        </w:rPr>
        <w:t xml:space="preserve"> at</w:t>
      </w:r>
      <w:r w:rsidR="00131DC7" w:rsidRPr="003A4160">
        <w:rPr>
          <w:sz w:val="24"/>
          <w:szCs w:val="24"/>
        </w:rPr>
        <w:t xml:space="preserve"> 8-9</w:t>
      </w:r>
      <w:r w:rsidR="00E12BC9">
        <w:rPr>
          <w:sz w:val="24"/>
          <w:szCs w:val="24"/>
        </w:rPr>
        <w:t>.</w:t>
      </w:r>
    </w:p>
  </w:footnote>
  <w:footnote w:id="13">
    <w:p w:rsidR="00131DC7" w:rsidRPr="003A4160" w:rsidRDefault="00131DC7">
      <w:pPr>
        <w:pStyle w:val="FootnoteText"/>
        <w:rPr>
          <w:sz w:val="24"/>
          <w:szCs w:val="24"/>
        </w:rPr>
      </w:pPr>
      <w:r w:rsidRPr="003A4160">
        <w:rPr>
          <w:rStyle w:val="FootnoteReference"/>
          <w:sz w:val="24"/>
          <w:szCs w:val="24"/>
        </w:rPr>
        <w:footnoteRef/>
      </w:r>
      <w:r w:rsidRPr="003A4160">
        <w:rPr>
          <w:sz w:val="24"/>
          <w:szCs w:val="24"/>
        </w:rPr>
        <w:t xml:space="preserve"> </w:t>
      </w:r>
      <w:r w:rsidR="00E12BC9" w:rsidRPr="00E12BC9">
        <w:rPr>
          <w:i/>
          <w:sz w:val="24"/>
          <w:szCs w:val="24"/>
        </w:rPr>
        <w:t>Id.</w:t>
      </w:r>
      <w:r w:rsidR="00E12BC9">
        <w:rPr>
          <w:sz w:val="24"/>
          <w:szCs w:val="24"/>
        </w:rPr>
        <w:t xml:space="preserve"> at 13.</w:t>
      </w:r>
    </w:p>
  </w:footnote>
  <w:footnote w:id="14">
    <w:p w:rsidR="00131DC7" w:rsidRPr="003A4160" w:rsidRDefault="00131DC7">
      <w:pPr>
        <w:pStyle w:val="FootnoteText"/>
        <w:rPr>
          <w:sz w:val="24"/>
          <w:szCs w:val="24"/>
        </w:rPr>
      </w:pPr>
      <w:r w:rsidRPr="003A4160">
        <w:rPr>
          <w:rStyle w:val="FootnoteReference"/>
          <w:sz w:val="24"/>
          <w:szCs w:val="24"/>
        </w:rPr>
        <w:footnoteRef/>
      </w:r>
      <w:r w:rsidRPr="003A4160">
        <w:rPr>
          <w:sz w:val="24"/>
          <w:szCs w:val="24"/>
        </w:rPr>
        <w:t xml:space="preserve"> </w:t>
      </w:r>
      <w:r w:rsidR="00E12BC9" w:rsidRPr="00E12BC9">
        <w:rPr>
          <w:i/>
          <w:sz w:val="24"/>
          <w:szCs w:val="24"/>
        </w:rPr>
        <w:t>Id.</w:t>
      </w:r>
      <w:r w:rsidR="00E12BC9">
        <w:rPr>
          <w:sz w:val="24"/>
          <w:szCs w:val="24"/>
        </w:rPr>
        <w:t xml:space="preserve"> at 13. </w:t>
      </w:r>
    </w:p>
  </w:footnote>
  <w:footnote w:id="15">
    <w:p w:rsidR="000A5874" w:rsidRPr="003A4160" w:rsidRDefault="000A5874">
      <w:pPr>
        <w:pStyle w:val="FootnoteText"/>
        <w:rPr>
          <w:sz w:val="24"/>
          <w:szCs w:val="24"/>
        </w:rPr>
      </w:pPr>
      <w:r w:rsidRPr="003A4160">
        <w:rPr>
          <w:rStyle w:val="FootnoteReference"/>
          <w:sz w:val="24"/>
          <w:szCs w:val="24"/>
        </w:rPr>
        <w:footnoteRef/>
      </w:r>
      <w:r w:rsidRPr="003A4160">
        <w:rPr>
          <w:sz w:val="24"/>
          <w:szCs w:val="24"/>
        </w:rPr>
        <w:t xml:space="preserve"> </w:t>
      </w:r>
      <w:r w:rsidR="00E12BC9" w:rsidRPr="000572C3">
        <w:rPr>
          <w:smallCaps/>
          <w:sz w:val="24"/>
          <w:szCs w:val="24"/>
        </w:rPr>
        <w:t xml:space="preserve">Wendy H. Schacht &amp; John R. Thomas, </w:t>
      </w:r>
      <w:r w:rsidR="00E12BC9">
        <w:rPr>
          <w:smallCaps/>
          <w:sz w:val="24"/>
          <w:szCs w:val="24"/>
        </w:rPr>
        <w:t xml:space="preserve">PL 111-148: Intellectual Property Provisions for Follow-On Biologics </w:t>
      </w:r>
      <w:r w:rsidR="00E12BC9">
        <w:rPr>
          <w:sz w:val="24"/>
          <w:szCs w:val="24"/>
        </w:rPr>
        <w:t xml:space="preserve">3 </w:t>
      </w:r>
      <w:r w:rsidR="00E12BC9" w:rsidRPr="000572C3">
        <w:rPr>
          <w:sz w:val="24"/>
          <w:szCs w:val="24"/>
        </w:rPr>
        <w:t>(Cong. Research Serv., CRS R</w:t>
      </w:r>
      <w:r w:rsidR="00E12BC9">
        <w:rPr>
          <w:sz w:val="24"/>
          <w:szCs w:val="24"/>
        </w:rPr>
        <w:t>eport for Congress Order Code R 41270</w:t>
      </w:r>
      <w:r w:rsidR="00E12BC9" w:rsidRPr="000572C3">
        <w:rPr>
          <w:sz w:val="24"/>
          <w:szCs w:val="24"/>
        </w:rPr>
        <w:t xml:space="preserve">, </w:t>
      </w:r>
      <w:r w:rsidR="00E12BC9">
        <w:rPr>
          <w:sz w:val="24"/>
          <w:szCs w:val="24"/>
        </w:rPr>
        <w:t>May 25</w:t>
      </w:r>
      <w:r w:rsidR="00E12BC9" w:rsidRPr="000572C3">
        <w:rPr>
          <w:sz w:val="24"/>
          <w:szCs w:val="24"/>
        </w:rPr>
        <w:t>, 20</w:t>
      </w:r>
      <w:r w:rsidR="00E12BC9">
        <w:rPr>
          <w:sz w:val="24"/>
          <w:szCs w:val="24"/>
        </w:rPr>
        <w:t>10</w:t>
      </w:r>
      <w:r w:rsidR="00E12BC9" w:rsidRPr="000572C3">
        <w:rPr>
          <w:sz w:val="24"/>
          <w:szCs w:val="24"/>
        </w:rPr>
        <w:t>)</w:t>
      </w:r>
      <w:r w:rsidR="00E12BC9">
        <w:rPr>
          <w:sz w:val="24"/>
          <w:szCs w:val="24"/>
        </w:rPr>
        <w:t xml:space="preserve">. </w:t>
      </w:r>
    </w:p>
  </w:footnote>
  <w:footnote w:id="16">
    <w:p w:rsidR="003C3763" w:rsidRPr="003A4160" w:rsidRDefault="003C3763">
      <w:pPr>
        <w:pStyle w:val="FootnoteText"/>
        <w:rPr>
          <w:sz w:val="24"/>
          <w:szCs w:val="24"/>
        </w:rPr>
      </w:pPr>
      <w:r w:rsidRPr="003A4160">
        <w:rPr>
          <w:rStyle w:val="FootnoteReference"/>
          <w:sz w:val="24"/>
          <w:szCs w:val="24"/>
        </w:rPr>
        <w:footnoteRef/>
      </w:r>
      <w:r w:rsidRPr="003A4160">
        <w:rPr>
          <w:sz w:val="24"/>
          <w:szCs w:val="24"/>
        </w:rPr>
        <w:t xml:space="preserve"> </w:t>
      </w:r>
      <w:r w:rsidR="00E12BC9" w:rsidRPr="00E12BC9">
        <w:rPr>
          <w:i/>
          <w:sz w:val="24"/>
          <w:szCs w:val="24"/>
        </w:rPr>
        <w:t>Id.</w:t>
      </w:r>
      <w:r w:rsidR="00E12BC9">
        <w:rPr>
          <w:sz w:val="24"/>
          <w:szCs w:val="24"/>
        </w:rPr>
        <w:t xml:space="preserve"> </w:t>
      </w:r>
    </w:p>
  </w:footnote>
  <w:footnote w:id="17">
    <w:p w:rsidR="005D13E2" w:rsidRPr="003A4160" w:rsidRDefault="005D13E2">
      <w:pPr>
        <w:pStyle w:val="FootnoteText"/>
        <w:rPr>
          <w:sz w:val="24"/>
          <w:szCs w:val="24"/>
        </w:rPr>
      </w:pPr>
      <w:r w:rsidRPr="003A4160">
        <w:rPr>
          <w:rStyle w:val="FootnoteReference"/>
          <w:sz w:val="24"/>
          <w:szCs w:val="24"/>
        </w:rPr>
        <w:footnoteRef/>
      </w:r>
      <w:r w:rsidRPr="003A4160">
        <w:rPr>
          <w:sz w:val="24"/>
          <w:szCs w:val="24"/>
        </w:rPr>
        <w:t xml:space="preserve"> </w:t>
      </w:r>
      <w:r w:rsidR="00E12BC9" w:rsidRPr="00E12BC9">
        <w:rPr>
          <w:sz w:val="24"/>
          <w:szCs w:val="24"/>
        </w:rPr>
        <w:t>Edlin</w:t>
      </w:r>
      <w:r w:rsidR="00E12BC9">
        <w:rPr>
          <w:sz w:val="24"/>
          <w:szCs w:val="24"/>
        </w:rPr>
        <w:t xml:space="preserve">, </w:t>
      </w:r>
      <w:r w:rsidR="00E12BC9" w:rsidRPr="00E12BC9">
        <w:rPr>
          <w:i/>
          <w:sz w:val="24"/>
          <w:szCs w:val="24"/>
        </w:rPr>
        <w:t>supra</w:t>
      </w:r>
      <w:r w:rsidR="00E12BC9">
        <w:rPr>
          <w:sz w:val="24"/>
          <w:szCs w:val="24"/>
        </w:rPr>
        <w:t xml:space="preserve"> note 8.  </w:t>
      </w:r>
    </w:p>
  </w:footnote>
  <w:footnote w:id="18">
    <w:p w:rsidR="005D13E2" w:rsidRPr="003A4160" w:rsidRDefault="005D13E2">
      <w:pPr>
        <w:pStyle w:val="FootnoteText"/>
        <w:rPr>
          <w:sz w:val="24"/>
          <w:szCs w:val="24"/>
        </w:rPr>
      </w:pPr>
      <w:r w:rsidRPr="003A4160">
        <w:rPr>
          <w:rStyle w:val="FootnoteReference"/>
          <w:sz w:val="24"/>
          <w:szCs w:val="24"/>
        </w:rPr>
        <w:footnoteRef/>
      </w:r>
      <w:r w:rsidRPr="003A4160">
        <w:rPr>
          <w:sz w:val="24"/>
          <w:szCs w:val="24"/>
        </w:rPr>
        <w:t xml:space="preserve"> </w:t>
      </w:r>
      <w:r w:rsidR="00E12BC9" w:rsidRPr="00E12BC9">
        <w:rPr>
          <w:i/>
          <w:sz w:val="24"/>
          <w:szCs w:val="24"/>
        </w:rPr>
        <w:t>Id.</w:t>
      </w:r>
      <w:r w:rsidR="00E12BC9" w:rsidRPr="00E12BC9">
        <w:rPr>
          <w:sz w:val="24"/>
          <w:szCs w:val="24"/>
        </w:rPr>
        <w:t xml:space="preserve">  </w:t>
      </w:r>
      <w:r w:rsidRPr="00E12BC9">
        <w:rPr>
          <w:sz w:val="24"/>
          <w:szCs w:val="24"/>
        </w:rPr>
        <w:t xml:space="preserve"> </w:t>
      </w:r>
    </w:p>
  </w:footnote>
  <w:footnote w:id="19">
    <w:p w:rsidR="006C58E4" w:rsidRPr="003A4160" w:rsidRDefault="006C58E4">
      <w:pPr>
        <w:pStyle w:val="FootnoteText"/>
        <w:rPr>
          <w:sz w:val="24"/>
          <w:szCs w:val="24"/>
        </w:rPr>
      </w:pPr>
      <w:r w:rsidRPr="003A4160">
        <w:rPr>
          <w:rStyle w:val="FootnoteReference"/>
          <w:sz w:val="24"/>
          <w:szCs w:val="24"/>
        </w:rPr>
        <w:footnoteRef/>
      </w:r>
      <w:r w:rsidRPr="003A4160">
        <w:rPr>
          <w:sz w:val="24"/>
          <w:szCs w:val="24"/>
        </w:rPr>
        <w:t xml:space="preserve"> </w:t>
      </w:r>
      <w:r w:rsidR="00B93D1E" w:rsidRPr="00B93D1E">
        <w:rPr>
          <w:smallCaps/>
          <w:sz w:val="24"/>
          <w:szCs w:val="24"/>
        </w:rPr>
        <w:t>Federal Trade Commission, Emerging Health Care Issues: Follow-On Biologic Drug Competition</w:t>
      </w:r>
      <w:r w:rsidR="00B93D1E">
        <w:rPr>
          <w:sz w:val="24"/>
          <w:szCs w:val="24"/>
        </w:rPr>
        <w:t xml:space="preserve"> 14 (2009), available at </w:t>
      </w:r>
      <w:hyperlink r:id="rId4" w:history="1">
        <w:r w:rsidRPr="003A4160">
          <w:rPr>
            <w:rStyle w:val="Hyperlink"/>
            <w:sz w:val="24"/>
            <w:szCs w:val="24"/>
          </w:rPr>
          <w:t>http://www.ftc.gov/os/2009/06/P083901biologicsreport.pdf</w:t>
        </w:r>
      </w:hyperlink>
      <w:r w:rsidR="00B93D1E">
        <w:rPr>
          <w:sz w:val="24"/>
          <w:szCs w:val="24"/>
        </w:rPr>
        <w:t>.</w:t>
      </w:r>
      <w:r w:rsidRPr="003A4160">
        <w:rPr>
          <w:sz w:val="24"/>
          <w:szCs w:val="24"/>
        </w:rPr>
        <w:t xml:space="preserve"> </w:t>
      </w:r>
    </w:p>
  </w:footnote>
  <w:footnote w:id="20">
    <w:p w:rsidR="00F56201" w:rsidRPr="003A4160" w:rsidRDefault="00F56201">
      <w:pPr>
        <w:pStyle w:val="FootnoteText"/>
        <w:rPr>
          <w:sz w:val="24"/>
          <w:szCs w:val="24"/>
        </w:rPr>
      </w:pPr>
      <w:r w:rsidRPr="003A4160">
        <w:rPr>
          <w:rStyle w:val="FootnoteReference"/>
          <w:sz w:val="24"/>
          <w:szCs w:val="24"/>
        </w:rPr>
        <w:footnoteRef/>
      </w:r>
      <w:r w:rsidRPr="003A4160">
        <w:rPr>
          <w:sz w:val="24"/>
          <w:szCs w:val="24"/>
        </w:rPr>
        <w:t xml:space="preserve"> </w:t>
      </w:r>
      <w:r w:rsidR="00B93D1E" w:rsidRPr="00B93D1E">
        <w:rPr>
          <w:sz w:val="24"/>
          <w:szCs w:val="24"/>
        </w:rPr>
        <w:t>Ed Silverman</w:t>
      </w:r>
      <w:r w:rsidR="00B93D1E">
        <w:rPr>
          <w:sz w:val="24"/>
          <w:szCs w:val="24"/>
        </w:rPr>
        <w:t xml:space="preserve">, </w:t>
      </w:r>
      <w:r w:rsidR="00B93D1E" w:rsidRPr="00B93D1E">
        <w:rPr>
          <w:i/>
          <w:sz w:val="24"/>
          <w:szCs w:val="24"/>
        </w:rPr>
        <w:t>Merck Wants To Develop Follow-On Biologics</w:t>
      </w:r>
      <w:r w:rsidR="00B93D1E">
        <w:rPr>
          <w:sz w:val="24"/>
          <w:szCs w:val="24"/>
        </w:rPr>
        <w:t xml:space="preserve">, </w:t>
      </w:r>
      <w:r w:rsidR="00B93D1E" w:rsidRPr="00B93D1E">
        <w:rPr>
          <w:smallCaps/>
          <w:sz w:val="24"/>
          <w:szCs w:val="24"/>
        </w:rPr>
        <w:t>Pharmalot</w:t>
      </w:r>
      <w:r w:rsidR="00B93D1E">
        <w:rPr>
          <w:sz w:val="24"/>
          <w:szCs w:val="24"/>
        </w:rPr>
        <w:t xml:space="preserve">, Dec. 9, 2008, available at </w:t>
      </w:r>
      <w:hyperlink r:id="rId5" w:history="1">
        <w:r w:rsidRPr="003A4160">
          <w:rPr>
            <w:rStyle w:val="Hyperlink"/>
            <w:sz w:val="24"/>
            <w:szCs w:val="24"/>
          </w:rPr>
          <w:t>http://www.pharmalot.com/2008/12/merck-wants-to-develop-follow-on-biologics/</w:t>
        </w:r>
      </w:hyperlink>
      <w:r w:rsidR="00B93D1E">
        <w:rPr>
          <w:sz w:val="24"/>
          <w:szCs w:val="24"/>
        </w:rPr>
        <w:t>.</w:t>
      </w:r>
      <w:r w:rsidRPr="003A4160">
        <w:rPr>
          <w:sz w:val="24"/>
          <w:szCs w:val="24"/>
        </w:rPr>
        <w:t xml:space="preserve"> </w:t>
      </w:r>
    </w:p>
  </w:footnote>
  <w:footnote w:id="21">
    <w:p w:rsidR="00F56201" w:rsidRPr="003A4160" w:rsidRDefault="00F56201">
      <w:pPr>
        <w:pStyle w:val="FootnoteText"/>
        <w:rPr>
          <w:sz w:val="24"/>
          <w:szCs w:val="24"/>
        </w:rPr>
      </w:pPr>
      <w:r w:rsidRPr="003A4160">
        <w:rPr>
          <w:rStyle w:val="FootnoteReference"/>
          <w:sz w:val="24"/>
          <w:szCs w:val="24"/>
        </w:rPr>
        <w:footnoteRef/>
      </w:r>
      <w:r w:rsidRPr="003A4160">
        <w:rPr>
          <w:sz w:val="24"/>
          <w:szCs w:val="24"/>
        </w:rPr>
        <w:t xml:space="preserve"> </w:t>
      </w:r>
      <w:r w:rsidR="00B93D1E" w:rsidRPr="00B93D1E">
        <w:rPr>
          <w:i/>
          <w:sz w:val="24"/>
          <w:szCs w:val="24"/>
        </w:rPr>
        <w:t>Id.</w:t>
      </w:r>
      <w:r w:rsidRPr="003A4160">
        <w:rPr>
          <w:sz w:val="24"/>
          <w:szCs w:val="24"/>
        </w:rPr>
        <w:t xml:space="preserve"> </w:t>
      </w:r>
    </w:p>
  </w:footnote>
  <w:footnote w:id="22">
    <w:p w:rsidR="00F37331" w:rsidRPr="003F6115" w:rsidRDefault="00F37331">
      <w:pPr>
        <w:pStyle w:val="FootnoteText"/>
        <w:rPr>
          <w:sz w:val="24"/>
          <w:szCs w:val="24"/>
        </w:rPr>
      </w:pPr>
      <w:r w:rsidRPr="003F6115">
        <w:rPr>
          <w:rStyle w:val="FootnoteReference"/>
          <w:sz w:val="24"/>
          <w:szCs w:val="24"/>
        </w:rPr>
        <w:footnoteRef/>
      </w:r>
      <w:r w:rsidRPr="003F6115">
        <w:rPr>
          <w:sz w:val="24"/>
          <w:szCs w:val="24"/>
        </w:rPr>
        <w:t xml:space="preserve"> </w:t>
      </w:r>
      <w:r w:rsidR="003F6115" w:rsidRPr="003F6115">
        <w:rPr>
          <w:sz w:val="24"/>
          <w:szCs w:val="24"/>
        </w:rPr>
        <w:t xml:space="preserve">Ellen Foster Licking, </w:t>
      </w:r>
      <w:r w:rsidR="003F6115" w:rsidRPr="003F6115">
        <w:rPr>
          <w:i/>
          <w:sz w:val="24"/>
          <w:szCs w:val="24"/>
        </w:rPr>
        <w:t>Merck’s Ambitious Plans for Follow-On Biologics</w:t>
      </w:r>
      <w:r w:rsidR="003F6115" w:rsidRPr="003F6115">
        <w:rPr>
          <w:sz w:val="24"/>
          <w:szCs w:val="24"/>
        </w:rPr>
        <w:t xml:space="preserve">, </w:t>
      </w:r>
      <w:r w:rsidR="003F6115" w:rsidRPr="003F6115">
        <w:rPr>
          <w:smallCaps/>
          <w:sz w:val="24"/>
          <w:szCs w:val="24"/>
        </w:rPr>
        <w:t>BioPharma Today</w:t>
      </w:r>
      <w:r w:rsidR="003F6115" w:rsidRPr="003F6115">
        <w:rPr>
          <w:sz w:val="24"/>
          <w:szCs w:val="24"/>
        </w:rPr>
        <w:t xml:space="preserve">, Dec. 18, 2008, </w:t>
      </w:r>
      <w:r w:rsidR="003F6115" w:rsidRPr="003F6115">
        <w:rPr>
          <w:i/>
          <w:sz w:val="24"/>
          <w:szCs w:val="24"/>
        </w:rPr>
        <w:t>available at</w:t>
      </w:r>
      <w:r w:rsidR="003F6115" w:rsidRPr="003F6115">
        <w:rPr>
          <w:sz w:val="24"/>
          <w:szCs w:val="24"/>
        </w:rPr>
        <w:t xml:space="preserve"> </w:t>
      </w:r>
      <w:hyperlink r:id="rId6" w:history="1">
        <w:r w:rsidR="003F6115" w:rsidRPr="003F6115">
          <w:rPr>
            <w:rStyle w:val="Hyperlink"/>
            <w:sz w:val="24"/>
            <w:szCs w:val="24"/>
          </w:rPr>
          <w:t>http://www.biopharmatoday.com/2008/12/mercks-ambitious-plans-for-follow-on-biologics.html</w:t>
        </w:r>
      </w:hyperlink>
      <w:r w:rsidR="003F6115">
        <w:rPr>
          <w:sz w:val="24"/>
          <w:szCs w:val="24"/>
        </w:rPr>
        <w:t>.</w:t>
      </w:r>
      <w:r w:rsidRPr="003F6115">
        <w:rPr>
          <w:sz w:val="24"/>
          <w:szCs w:val="24"/>
        </w:rPr>
        <w:t xml:space="preserve"> </w:t>
      </w:r>
    </w:p>
  </w:footnote>
  <w:footnote w:id="23">
    <w:p w:rsidR="00F37331" w:rsidRPr="003A4160" w:rsidRDefault="00F37331">
      <w:pPr>
        <w:pStyle w:val="FootnoteText"/>
        <w:rPr>
          <w:sz w:val="24"/>
          <w:szCs w:val="24"/>
        </w:rPr>
      </w:pPr>
      <w:r w:rsidRPr="003A4160">
        <w:rPr>
          <w:rStyle w:val="FootnoteReference"/>
          <w:sz w:val="24"/>
          <w:szCs w:val="24"/>
        </w:rPr>
        <w:footnoteRef/>
      </w:r>
      <w:r w:rsidRPr="003A4160">
        <w:rPr>
          <w:sz w:val="24"/>
          <w:szCs w:val="24"/>
        </w:rPr>
        <w:t xml:space="preserve"> </w:t>
      </w:r>
      <w:r w:rsidR="003F6115" w:rsidRPr="003F6115">
        <w:rPr>
          <w:i/>
          <w:sz w:val="24"/>
          <w:szCs w:val="24"/>
        </w:rPr>
        <w:t>Id.</w:t>
      </w:r>
      <w:r w:rsidR="003F6115">
        <w:rPr>
          <w:sz w:val="24"/>
          <w:szCs w:val="24"/>
        </w:rPr>
        <w:t xml:space="preserve"> </w:t>
      </w:r>
      <w:r w:rsidRPr="003A4160">
        <w:rPr>
          <w:sz w:val="24"/>
          <w:szCs w:val="24"/>
        </w:rPr>
        <w:t xml:space="preserve"> </w:t>
      </w:r>
    </w:p>
  </w:footnote>
  <w:footnote w:id="24">
    <w:p w:rsidR="00D9361F" w:rsidRPr="003A4160" w:rsidRDefault="00D9361F">
      <w:pPr>
        <w:pStyle w:val="FootnoteText"/>
        <w:rPr>
          <w:sz w:val="24"/>
          <w:szCs w:val="24"/>
        </w:rPr>
      </w:pPr>
      <w:r w:rsidRPr="003A4160">
        <w:rPr>
          <w:rStyle w:val="FootnoteReference"/>
          <w:sz w:val="24"/>
          <w:szCs w:val="24"/>
        </w:rPr>
        <w:footnoteRef/>
      </w:r>
      <w:r w:rsidRPr="003A4160">
        <w:rPr>
          <w:sz w:val="24"/>
          <w:szCs w:val="24"/>
        </w:rPr>
        <w:t xml:space="preserve"> </w:t>
      </w:r>
      <w:r w:rsidR="003F6115">
        <w:rPr>
          <w:sz w:val="24"/>
          <w:szCs w:val="24"/>
        </w:rPr>
        <w:t xml:space="preserve">Press Release, Insmed, Inc., </w:t>
      </w:r>
      <w:r w:rsidR="003F6115" w:rsidRPr="003F6115">
        <w:rPr>
          <w:sz w:val="24"/>
          <w:szCs w:val="24"/>
        </w:rPr>
        <w:t>Insmed Sells Follow-on Biologics Platform to Merck &amp; Co., Inc. for Gross Proceeds of $130</w:t>
      </w:r>
      <w:r w:rsidR="003F6115">
        <w:rPr>
          <w:sz w:val="24"/>
          <w:szCs w:val="24"/>
        </w:rPr>
        <w:t xml:space="preserve"> Million (Feb. 12, 2009), </w:t>
      </w:r>
      <w:r w:rsidR="003F6115" w:rsidRPr="003F6115">
        <w:rPr>
          <w:i/>
          <w:sz w:val="24"/>
          <w:szCs w:val="24"/>
        </w:rPr>
        <w:t>available at</w:t>
      </w:r>
      <w:r w:rsidR="003F6115">
        <w:rPr>
          <w:sz w:val="24"/>
          <w:szCs w:val="24"/>
        </w:rPr>
        <w:t xml:space="preserve"> </w:t>
      </w:r>
      <w:hyperlink r:id="rId7" w:history="1">
        <w:r w:rsidR="003F6115" w:rsidRPr="00B967A7">
          <w:rPr>
            <w:rStyle w:val="Hyperlink"/>
            <w:sz w:val="24"/>
            <w:szCs w:val="24"/>
          </w:rPr>
          <w:t>http://investor.insmed.com/releasedetail.cfm?ReleaseID=364842</w:t>
        </w:r>
      </w:hyperlink>
      <w:r w:rsidR="003E0C62">
        <w:rPr>
          <w:sz w:val="24"/>
          <w:szCs w:val="24"/>
        </w:rPr>
        <w:t>.</w:t>
      </w:r>
      <w:r w:rsidRPr="003A4160">
        <w:rPr>
          <w:sz w:val="24"/>
          <w:szCs w:val="24"/>
        </w:rPr>
        <w:t xml:space="preserve"> </w:t>
      </w:r>
    </w:p>
  </w:footnote>
  <w:footnote w:id="25">
    <w:p w:rsidR="000A59D6" w:rsidRPr="003A4160" w:rsidRDefault="000A59D6">
      <w:pPr>
        <w:pStyle w:val="FootnoteText"/>
        <w:rPr>
          <w:sz w:val="24"/>
          <w:szCs w:val="24"/>
        </w:rPr>
      </w:pPr>
      <w:r w:rsidRPr="003A4160">
        <w:rPr>
          <w:rStyle w:val="FootnoteReference"/>
          <w:sz w:val="24"/>
          <w:szCs w:val="24"/>
        </w:rPr>
        <w:footnoteRef/>
      </w:r>
      <w:r w:rsidRPr="003A4160">
        <w:rPr>
          <w:sz w:val="24"/>
          <w:szCs w:val="24"/>
        </w:rPr>
        <w:t xml:space="preserve"> </w:t>
      </w:r>
      <w:r w:rsidR="003E0C62" w:rsidRPr="003E0C62">
        <w:rPr>
          <w:i/>
          <w:sz w:val="24"/>
          <w:szCs w:val="24"/>
        </w:rPr>
        <w:t>See</w:t>
      </w:r>
      <w:r w:rsidR="003E0C62">
        <w:rPr>
          <w:sz w:val="24"/>
          <w:szCs w:val="24"/>
        </w:rPr>
        <w:t xml:space="preserve"> Posting of </w:t>
      </w:r>
      <w:r w:rsidR="003E0C62" w:rsidRPr="003E0C62">
        <w:rPr>
          <w:sz w:val="24"/>
          <w:szCs w:val="24"/>
        </w:rPr>
        <w:t>Ellen Licking</w:t>
      </w:r>
      <w:r w:rsidR="003E0C62">
        <w:rPr>
          <w:sz w:val="24"/>
          <w:szCs w:val="24"/>
        </w:rPr>
        <w:t xml:space="preserve"> to The In Vivo Blog, </w:t>
      </w:r>
      <w:hyperlink r:id="rId8" w:history="1">
        <w:r w:rsidR="003E0C62" w:rsidRPr="00B967A7">
          <w:rPr>
            <w:rStyle w:val="Hyperlink"/>
            <w:sz w:val="24"/>
            <w:szCs w:val="24"/>
          </w:rPr>
          <w:t>http://invivoblog.blogspot.com/2009/02/dotw-evolution.html</w:t>
        </w:r>
      </w:hyperlink>
      <w:r w:rsidR="003E0C62">
        <w:rPr>
          <w:sz w:val="24"/>
          <w:szCs w:val="24"/>
        </w:rPr>
        <w:t xml:space="preserve"> (Feb. 13, 2009, 19:30). </w:t>
      </w:r>
    </w:p>
  </w:footnote>
  <w:footnote w:id="26">
    <w:p w:rsidR="000A59D6" w:rsidRPr="003A4160" w:rsidRDefault="000A59D6">
      <w:pPr>
        <w:pStyle w:val="FootnoteText"/>
        <w:rPr>
          <w:sz w:val="24"/>
          <w:szCs w:val="24"/>
        </w:rPr>
      </w:pPr>
      <w:r w:rsidRPr="003A4160">
        <w:rPr>
          <w:rStyle w:val="FootnoteReference"/>
          <w:sz w:val="24"/>
          <w:szCs w:val="24"/>
        </w:rPr>
        <w:footnoteRef/>
      </w:r>
      <w:r w:rsidRPr="003A4160">
        <w:rPr>
          <w:sz w:val="24"/>
          <w:szCs w:val="24"/>
        </w:rPr>
        <w:t xml:space="preserve"> </w:t>
      </w:r>
      <w:r w:rsidR="003E0C62" w:rsidRPr="003E0C62">
        <w:rPr>
          <w:i/>
          <w:sz w:val="24"/>
          <w:szCs w:val="24"/>
        </w:rPr>
        <w:t>See</w:t>
      </w:r>
      <w:r w:rsidR="003E0C62">
        <w:rPr>
          <w:sz w:val="24"/>
          <w:szCs w:val="24"/>
        </w:rPr>
        <w:t xml:space="preserve"> Posting of Kate Rawson to The In Vivo Blog, </w:t>
      </w:r>
      <w:hyperlink r:id="rId9" w:history="1">
        <w:r w:rsidR="003E0C62" w:rsidRPr="003A4160">
          <w:rPr>
            <w:rStyle w:val="Hyperlink"/>
            <w:sz w:val="24"/>
            <w:szCs w:val="24"/>
          </w:rPr>
          <w:t>http://invivoblog.blogspot.com/2008/02/starring-role-for-follow-on-biologics.html</w:t>
        </w:r>
      </w:hyperlink>
      <w:r w:rsidR="003E0C62">
        <w:rPr>
          <w:sz w:val="24"/>
          <w:szCs w:val="24"/>
        </w:rPr>
        <w:t xml:space="preserve"> (Feb. 11, 2008, 16:19). </w:t>
      </w:r>
    </w:p>
  </w:footnote>
  <w:footnote w:id="27">
    <w:p w:rsidR="007136BD" w:rsidRPr="003A4160" w:rsidRDefault="007136BD">
      <w:pPr>
        <w:pStyle w:val="FootnoteText"/>
        <w:rPr>
          <w:sz w:val="24"/>
          <w:szCs w:val="24"/>
        </w:rPr>
      </w:pPr>
      <w:r w:rsidRPr="003A4160">
        <w:rPr>
          <w:rStyle w:val="FootnoteReference"/>
          <w:sz w:val="24"/>
          <w:szCs w:val="24"/>
        </w:rPr>
        <w:footnoteRef/>
      </w:r>
      <w:r w:rsidRPr="003A4160">
        <w:rPr>
          <w:sz w:val="24"/>
          <w:szCs w:val="24"/>
        </w:rPr>
        <w:t xml:space="preserve"> </w:t>
      </w:r>
      <w:r w:rsidR="003E0C62">
        <w:rPr>
          <w:sz w:val="24"/>
          <w:szCs w:val="24"/>
        </w:rPr>
        <w:t xml:space="preserve">Press Release, Merck &amp; Co., Inc., </w:t>
      </w:r>
      <w:r w:rsidR="003E0C62" w:rsidRPr="003E0C62">
        <w:rPr>
          <w:sz w:val="24"/>
          <w:szCs w:val="24"/>
        </w:rPr>
        <w:t xml:space="preserve">Merck &amp; Co., Inc. to Acquire GlycoFi, Inc. </w:t>
      </w:r>
      <w:r w:rsidR="003E0C62">
        <w:rPr>
          <w:sz w:val="24"/>
          <w:szCs w:val="24"/>
        </w:rPr>
        <w:t xml:space="preserve">(May 9, 2006), </w:t>
      </w:r>
      <w:r w:rsidR="003E0C62" w:rsidRPr="003F6115">
        <w:rPr>
          <w:i/>
          <w:sz w:val="24"/>
          <w:szCs w:val="24"/>
        </w:rPr>
        <w:t>available at</w:t>
      </w:r>
      <w:r w:rsidR="003E0C62">
        <w:rPr>
          <w:sz w:val="24"/>
          <w:szCs w:val="24"/>
        </w:rPr>
        <w:t xml:space="preserve"> </w:t>
      </w:r>
      <w:hyperlink r:id="rId10" w:history="1">
        <w:r w:rsidRPr="003A4160">
          <w:rPr>
            <w:rStyle w:val="Hyperlink"/>
            <w:sz w:val="24"/>
            <w:szCs w:val="24"/>
          </w:rPr>
          <w:t>http://www.glycofi.com/news/050906.html</w:t>
        </w:r>
      </w:hyperlink>
      <w:r w:rsidR="003E0C62">
        <w:rPr>
          <w:sz w:val="24"/>
          <w:szCs w:val="24"/>
        </w:rPr>
        <w:t>.</w:t>
      </w:r>
    </w:p>
  </w:footnote>
  <w:footnote w:id="28">
    <w:p w:rsidR="009E5D46" w:rsidRPr="003A4160" w:rsidRDefault="009E5D46">
      <w:pPr>
        <w:pStyle w:val="FootnoteText"/>
        <w:rPr>
          <w:sz w:val="24"/>
          <w:szCs w:val="24"/>
        </w:rPr>
      </w:pPr>
      <w:r w:rsidRPr="003A4160">
        <w:rPr>
          <w:rStyle w:val="FootnoteReference"/>
          <w:sz w:val="24"/>
          <w:szCs w:val="24"/>
        </w:rPr>
        <w:footnoteRef/>
      </w:r>
      <w:r w:rsidRPr="003A4160">
        <w:rPr>
          <w:sz w:val="24"/>
          <w:szCs w:val="24"/>
        </w:rPr>
        <w:t xml:space="preserve"> </w:t>
      </w:r>
      <w:r w:rsidR="003E0C62">
        <w:rPr>
          <w:sz w:val="24"/>
          <w:szCs w:val="24"/>
        </w:rPr>
        <w:t xml:space="preserve">Posting of </w:t>
      </w:r>
      <w:r w:rsidR="003E0C62" w:rsidRPr="003E0C62">
        <w:rPr>
          <w:sz w:val="24"/>
          <w:szCs w:val="24"/>
        </w:rPr>
        <w:t>Jonathan D. Rockoff</w:t>
      </w:r>
      <w:r w:rsidR="003E0C62">
        <w:rPr>
          <w:sz w:val="24"/>
          <w:szCs w:val="24"/>
        </w:rPr>
        <w:t xml:space="preserve"> to Wall Street Journal Health Blog, </w:t>
      </w:r>
      <w:hyperlink r:id="rId11" w:history="1">
        <w:r w:rsidRPr="003A4160">
          <w:rPr>
            <w:rStyle w:val="Hyperlink"/>
            <w:sz w:val="24"/>
            <w:szCs w:val="24"/>
          </w:rPr>
          <w:t>http://blogs.wsj.com/health/2010/05/11/merck-scraps-once-promising-follow-on-biologic-for-anemia/</w:t>
        </w:r>
      </w:hyperlink>
      <w:r w:rsidRPr="003A4160">
        <w:rPr>
          <w:sz w:val="24"/>
          <w:szCs w:val="24"/>
        </w:rPr>
        <w:t xml:space="preserve"> </w:t>
      </w:r>
      <w:r w:rsidR="00565525">
        <w:rPr>
          <w:sz w:val="24"/>
          <w:szCs w:val="24"/>
        </w:rPr>
        <w:t>(</w:t>
      </w:r>
      <w:r w:rsidR="00565525" w:rsidRPr="00565525">
        <w:rPr>
          <w:sz w:val="24"/>
          <w:szCs w:val="24"/>
        </w:rPr>
        <w:t xml:space="preserve">May 11, 2010, 10:50 </w:t>
      </w:r>
      <w:r w:rsidR="00565525">
        <w:rPr>
          <w:sz w:val="24"/>
          <w:szCs w:val="24"/>
        </w:rPr>
        <w:t>ET).</w:t>
      </w:r>
    </w:p>
  </w:footnote>
  <w:footnote w:id="29">
    <w:p w:rsidR="009E5D46" w:rsidRPr="003A4160" w:rsidRDefault="009E5D46">
      <w:pPr>
        <w:pStyle w:val="FootnoteText"/>
        <w:rPr>
          <w:sz w:val="24"/>
          <w:szCs w:val="24"/>
        </w:rPr>
      </w:pPr>
      <w:r w:rsidRPr="003A4160">
        <w:rPr>
          <w:rStyle w:val="FootnoteReference"/>
          <w:sz w:val="24"/>
          <w:szCs w:val="24"/>
        </w:rPr>
        <w:footnoteRef/>
      </w:r>
      <w:r w:rsidRPr="003A4160">
        <w:rPr>
          <w:sz w:val="24"/>
          <w:szCs w:val="24"/>
        </w:rPr>
        <w:t xml:space="preserve"> </w:t>
      </w:r>
      <w:r w:rsidR="00565525" w:rsidRPr="00565525">
        <w:rPr>
          <w:i/>
          <w:sz w:val="24"/>
          <w:szCs w:val="24"/>
        </w:rPr>
        <w:t>Id.</w:t>
      </w:r>
      <w:r w:rsidR="00565525">
        <w:rPr>
          <w:sz w:val="24"/>
          <w:szCs w:val="24"/>
        </w:rPr>
        <w:t xml:space="preserve"> </w:t>
      </w:r>
    </w:p>
  </w:footnote>
  <w:footnote w:id="30">
    <w:p w:rsidR="008B3B8B" w:rsidRPr="003A4160" w:rsidRDefault="008B3B8B">
      <w:pPr>
        <w:pStyle w:val="FootnoteText"/>
        <w:rPr>
          <w:sz w:val="24"/>
          <w:szCs w:val="24"/>
        </w:rPr>
      </w:pPr>
      <w:r w:rsidRPr="003A4160">
        <w:rPr>
          <w:rStyle w:val="FootnoteReference"/>
          <w:sz w:val="24"/>
          <w:szCs w:val="24"/>
        </w:rPr>
        <w:footnoteRef/>
      </w:r>
      <w:r w:rsidR="00565525" w:rsidRPr="00565525">
        <w:rPr>
          <w:sz w:val="24"/>
          <w:szCs w:val="24"/>
        </w:rPr>
        <w:t>Cynthia Challener</w:t>
      </w:r>
      <w:r w:rsidR="00565525">
        <w:rPr>
          <w:sz w:val="24"/>
          <w:szCs w:val="24"/>
        </w:rPr>
        <w:t xml:space="preserve">, </w:t>
      </w:r>
      <w:r w:rsidR="00565525">
        <w:rPr>
          <w:i/>
          <w:sz w:val="24"/>
          <w:szCs w:val="24"/>
        </w:rPr>
        <w:t>Follow-O</w:t>
      </w:r>
      <w:r w:rsidR="00565525" w:rsidRPr="00565525">
        <w:rPr>
          <w:i/>
          <w:sz w:val="24"/>
          <w:szCs w:val="24"/>
        </w:rPr>
        <w:t xml:space="preserve">n </w:t>
      </w:r>
      <w:r w:rsidR="00565525">
        <w:rPr>
          <w:i/>
          <w:sz w:val="24"/>
          <w:szCs w:val="24"/>
        </w:rPr>
        <w:t>Biologics Present Opportunity to Big P</w:t>
      </w:r>
      <w:r w:rsidR="00565525" w:rsidRPr="00565525">
        <w:rPr>
          <w:i/>
          <w:sz w:val="24"/>
          <w:szCs w:val="24"/>
        </w:rPr>
        <w:t>harma</w:t>
      </w:r>
      <w:r w:rsidR="00565525">
        <w:rPr>
          <w:sz w:val="24"/>
          <w:szCs w:val="24"/>
        </w:rPr>
        <w:t xml:space="preserve">, </w:t>
      </w:r>
      <w:r w:rsidR="00565525" w:rsidRPr="00565525">
        <w:rPr>
          <w:smallCaps/>
          <w:sz w:val="24"/>
          <w:szCs w:val="24"/>
        </w:rPr>
        <w:t>ICIS.com</w:t>
      </w:r>
      <w:r w:rsidR="00565525">
        <w:rPr>
          <w:sz w:val="24"/>
          <w:szCs w:val="24"/>
        </w:rPr>
        <w:t xml:space="preserve">, Feb. 10, 2010, </w:t>
      </w:r>
      <w:r w:rsidR="00565525" w:rsidRPr="00565525">
        <w:rPr>
          <w:i/>
          <w:sz w:val="24"/>
          <w:szCs w:val="24"/>
        </w:rPr>
        <w:t>available at</w:t>
      </w:r>
      <w:r w:rsidRPr="003A4160">
        <w:rPr>
          <w:sz w:val="24"/>
          <w:szCs w:val="24"/>
        </w:rPr>
        <w:t xml:space="preserve"> </w:t>
      </w:r>
      <w:hyperlink r:id="rId12" w:history="1">
        <w:r w:rsidRPr="003A4160">
          <w:rPr>
            <w:rStyle w:val="Hyperlink"/>
            <w:sz w:val="24"/>
            <w:szCs w:val="24"/>
          </w:rPr>
          <w:t>http://www.icis.com/Articles/2010/02/15/9333235/follow-on-biologics-present-opportunity-to-big-pharma.html</w:t>
        </w:r>
      </w:hyperlink>
      <w:r w:rsidR="00565525">
        <w:rPr>
          <w:sz w:val="24"/>
          <w:szCs w:val="24"/>
        </w:rPr>
        <w:t>.</w:t>
      </w:r>
      <w:r w:rsidRPr="003A4160">
        <w:rPr>
          <w:sz w:val="24"/>
          <w:szCs w:val="24"/>
        </w:rPr>
        <w:t xml:space="preserve"> </w:t>
      </w:r>
    </w:p>
  </w:footnote>
  <w:footnote w:id="31">
    <w:p w:rsidR="00CF0261" w:rsidRPr="003A4160" w:rsidRDefault="00CF0261">
      <w:pPr>
        <w:pStyle w:val="FootnoteText"/>
        <w:rPr>
          <w:sz w:val="24"/>
          <w:szCs w:val="24"/>
        </w:rPr>
      </w:pPr>
      <w:r w:rsidRPr="003A4160">
        <w:rPr>
          <w:rStyle w:val="FootnoteReference"/>
          <w:sz w:val="24"/>
          <w:szCs w:val="24"/>
        </w:rPr>
        <w:footnoteRef/>
      </w:r>
      <w:r w:rsidRPr="003A4160">
        <w:rPr>
          <w:sz w:val="24"/>
          <w:szCs w:val="24"/>
        </w:rPr>
        <w:t xml:space="preserve"> </w:t>
      </w:r>
      <w:r w:rsidR="00111BEE" w:rsidRPr="003A4160">
        <w:rPr>
          <w:i/>
          <w:sz w:val="24"/>
          <w:szCs w:val="24"/>
        </w:rPr>
        <w:t>See</w:t>
      </w:r>
      <w:r w:rsidR="00111BEE" w:rsidRPr="003A4160">
        <w:rPr>
          <w:sz w:val="24"/>
          <w:szCs w:val="24"/>
        </w:rPr>
        <w:t xml:space="preserve"> </w:t>
      </w:r>
      <w:r w:rsidRPr="003A4160">
        <w:rPr>
          <w:sz w:val="24"/>
          <w:szCs w:val="24"/>
        </w:rPr>
        <w:t xml:space="preserve">Ellen Foster Licking and Joseph Haas, </w:t>
      </w:r>
      <w:r w:rsidRPr="003A4160">
        <w:rPr>
          <w:i/>
          <w:sz w:val="24"/>
          <w:szCs w:val="24"/>
        </w:rPr>
        <w:t>A Two-Pharma Horse Race in Follow-on Biologics</w:t>
      </w:r>
      <w:r w:rsidRPr="003A4160">
        <w:rPr>
          <w:sz w:val="24"/>
          <w:szCs w:val="24"/>
        </w:rPr>
        <w:t xml:space="preserve">, </w:t>
      </w:r>
      <w:r w:rsidRPr="003A4160">
        <w:rPr>
          <w:smallCaps/>
          <w:sz w:val="24"/>
          <w:szCs w:val="24"/>
        </w:rPr>
        <w:t>In Vivo: The Business &amp; Medicine Report</w:t>
      </w:r>
      <w:r w:rsidR="00111BEE" w:rsidRPr="003A4160">
        <w:rPr>
          <w:sz w:val="24"/>
          <w:szCs w:val="24"/>
        </w:rPr>
        <w:t>, Feb. 2009, at 19.</w:t>
      </w:r>
    </w:p>
  </w:footnote>
  <w:footnote w:id="32">
    <w:p w:rsidR="00A32807" w:rsidRPr="003A4160" w:rsidRDefault="00A32807">
      <w:pPr>
        <w:pStyle w:val="FootnoteText"/>
        <w:rPr>
          <w:sz w:val="24"/>
          <w:szCs w:val="24"/>
        </w:rPr>
      </w:pPr>
      <w:r w:rsidRPr="003A4160">
        <w:rPr>
          <w:rStyle w:val="FootnoteReference"/>
          <w:sz w:val="24"/>
          <w:szCs w:val="24"/>
        </w:rPr>
        <w:footnoteRef/>
      </w:r>
      <w:r w:rsidRPr="003A4160">
        <w:rPr>
          <w:sz w:val="24"/>
          <w:szCs w:val="24"/>
        </w:rPr>
        <w:t xml:space="preserve"> Ellen Foster Licking and Joseph Haas, </w:t>
      </w:r>
      <w:r w:rsidRPr="003A4160">
        <w:rPr>
          <w:i/>
          <w:sz w:val="24"/>
          <w:szCs w:val="24"/>
        </w:rPr>
        <w:t>A Two-Pharma Horse Race in Follow-on Biologics</w:t>
      </w:r>
      <w:r w:rsidRPr="003A4160">
        <w:rPr>
          <w:sz w:val="24"/>
          <w:szCs w:val="24"/>
        </w:rPr>
        <w:t xml:space="preserve">, </w:t>
      </w:r>
      <w:r w:rsidRPr="003A4160">
        <w:rPr>
          <w:smallCaps/>
          <w:sz w:val="24"/>
          <w:szCs w:val="24"/>
        </w:rPr>
        <w:t>In Vivo: The Business &amp; Medicine Report</w:t>
      </w:r>
      <w:r w:rsidRPr="003A4160">
        <w:rPr>
          <w:sz w:val="24"/>
          <w:szCs w:val="24"/>
        </w:rPr>
        <w:t>, Feb. 2009, at 19.</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20"/>
  <w:characterSpacingControl w:val="doNotCompress"/>
  <w:footnotePr>
    <w:footnote w:id="-1"/>
    <w:footnote w:id="0"/>
  </w:footnotePr>
  <w:endnotePr>
    <w:endnote w:id="-1"/>
    <w:endnote w:id="0"/>
  </w:endnotePr>
  <w:compat/>
  <w:rsids>
    <w:rsidRoot w:val="00B80350"/>
    <w:rsid w:val="000572C3"/>
    <w:rsid w:val="000A5874"/>
    <w:rsid w:val="000A59D6"/>
    <w:rsid w:val="000C73DD"/>
    <w:rsid w:val="00111BEE"/>
    <w:rsid w:val="00131DC7"/>
    <w:rsid w:val="00146004"/>
    <w:rsid w:val="00242EF6"/>
    <w:rsid w:val="00311874"/>
    <w:rsid w:val="003A4160"/>
    <w:rsid w:val="003C3763"/>
    <w:rsid w:val="003E0C62"/>
    <w:rsid w:val="003F6115"/>
    <w:rsid w:val="00465446"/>
    <w:rsid w:val="004D502C"/>
    <w:rsid w:val="00500633"/>
    <w:rsid w:val="005153D2"/>
    <w:rsid w:val="00541BE5"/>
    <w:rsid w:val="00545334"/>
    <w:rsid w:val="00565525"/>
    <w:rsid w:val="005D13E2"/>
    <w:rsid w:val="006B1FB0"/>
    <w:rsid w:val="006B42AE"/>
    <w:rsid w:val="006C57E3"/>
    <w:rsid w:val="006C58E4"/>
    <w:rsid w:val="007136BD"/>
    <w:rsid w:val="00732597"/>
    <w:rsid w:val="007850A2"/>
    <w:rsid w:val="008110FC"/>
    <w:rsid w:val="0086523C"/>
    <w:rsid w:val="00881C45"/>
    <w:rsid w:val="00883A29"/>
    <w:rsid w:val="008B3B8B"/>
    <w:rsid w:val="009A5BB0"/>
    <w:rsid w:val="009E5D46"/>
    <w:rsid w:val="00A03695"/>
    <w:rsid w:val="00A21BEB"/>
    <w:rsid w:val="00A32807"/>
    <w:rsid w:val="00A84953"/>
    <w:rsid w:val="00B80350"/>
    <w:rsid w:val="00B85F62"/>
    <w:rsid w:val="00B93D1E"/>
    <w:rsid w:val="00C9766F"/>
    <w:rsid w:val="00CE40D5"/>
    <w:rsid w:val="00CF0261"/>
    <w:rsid w:val="00D33D70"/>
    <w:rsid w:val="00D9361F"/>
    <w:rsid w:val="00E047FA"/>
    <w:rsid w:val="00E12BC9"/>
    <w:rsid w:val="00EC656C"/>
    <w:rsid w:val="00EE1668"/>
    <w:rsid w:val="00F37331"/>
    <w:rsid w:val="00F56201"/>
    <w:rsid w:val="00FC6CA5"/>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63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B80350"/>
    <w:pPr>
      <w:spacing w:after="0" w:line="240" w:lineRule="auto"/>
    </w:pPr>
    <w:rPr>
      <w:sz w:val="20"/>
    </w:rPr>
  </w:style>
  <w:style w:type="character" w:customStyle="1" w:styleId="FootnoteTextChar">
    <w:name w:val="Footnote Text Char"/>
    <w:basedOn w:val="DefaultParagraphFont"/>
    <w:link w:val="FootnoteText"/>
    <w:uiPriority w:val="99"/>
    <w:semiHidden/>
    <w:rsid w:val="00B80350"/>
    <w:rPr>
      <w:sz w:val="20"/>
    </w:rPr>
  </w:style>
  <w:style w:type="character" w:styleId="FootnoteReference">
    <w:name w:val="footnote reference"/>
    <w:basedOn w:val="DefaultParagraphFont"/>
    <w:uiPriority w:val="99"/>
    <w:semiHidden/>
    <w:unhideWhenUsed/>
    <w:rsid w:val="00B80350"/>
    <w:rPr>
      <w:vertAlign w:val="superscript"/>
    </w:rPr>
  </w:style>
  <w:style w:type="character" w:styleId="Hyperlink">
    <w:name w:val="Hyperlink"/>
    <w:basedOn w:val="DefaultParagraphFont"/>
    <w:uiPriority w:val="99"/>
    <w:unhideWhenUsed/>
    <w:rsid w:val="00B80350"/>
    <w:rPr>
      <w:color w:val="0000FF" w:themeColor="hyperlink"/>
      <w:u w:val="single"/>
    </w:rPr>
  </w:style>
  <w:style w:type="paragraph" w:styleId="Header">
    <w:name w:val="header"/>
    <w:basedOn w:val="Normal"/>
    <w:link w:val="HeaderChar"/>
    <w:uiPriority w:val="99"/>
    <w:unhideWhenUsed/>
    <w:rsid w:val="00541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BE5"/>
  </w:style>
  <w:style w:type="paragraph" w:styleId="Footer">
    <w:name w:val="footer"/>
    <w:basedOn w:val="Normal"/>
    <w:link w:val="FooterChar"/>
    <w:uiPriority w:val="99"/>
    <w:unhideWhenUsed/>
    <w:rsid w:val="00541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BE5"/>
  </w:style>
  <w:style w:type="character" w:styleId="FollowedHyperlink">
    <w:name w:val="FollowedHyperlink"/>
    <w:basedOn w:val="DefaultParagraphFont"/>
    <w:uiPriority w:val="99"/>
    <w:semiHidden/>
    <w:unhideWhenUsed/>
    <w:rsid w:val="009A5BB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0350"/>
    <w:pPr>
      <w:spacing w:after="0" w:line="240" w:lineRule="auto"/>
    </w:pPr>
    <w:rPr>
      <w:sz w:val="20"/>
    </w:rPr>
  </w:style>
  <w:style w:type="character" w:customStyle="1" w:styleId="FootnoteTextChar">
    <w:name w:val="Footnote Text Char"/>
    <w:basedOn w:val="DefaultParagraphFont"/>
    <w:link w:val="FootnoteText"/>
    <w:uiPriority w:val="99"/>
    <w:semiHidden/>
    <w:rsid w:val="00B80350"/>
    <w:rPr>
      <w:sz w:val="20"/>
    </w:rPr>
  </w:style>
  <w:style w:type="character" w:styleId="FootnoteReference">
    <w:name w:val="footnote reference"/>
    <w:basedOn w:val="DefaultParagraphFont"/>
    <w:uiPriority w:val="99"/>
    <w:semiHidden/>
    <w:unhideWhenUsed/>
    <w:rsid w:val="00B80350"/>
    <w:rPr>
      <w:vertAlign w:val="superscript"/>
    </w:rPr>
  </w:style>
  <w:style w:type="character" w:styleId="Hyperlink">
    <w:name w:val="Hyperlink"/>
    <w:basedOn w:val="DefaultParagraphFont"/>
    <w:uiPriority w:val="99"/>
    <w:unhideWhenUsed/>
    <w:rsid w:val="00B80350"/>
    <w:rPr>
      <w:color w:val="0000FF" w:themeColor="hyperlink"/>
      <w:u w:val="single"/>
    </w:rPr>
  </w:style>
  <w:style w:type="paragraph" w:styleId="Header">
    <w:name w:val="header"/>
    <w:basedOn w:val="Normal"/>
    <w:link w:val="HeaderChar"/>
    <w:uiPriority w:val="99"/>
    <w:unhideWhenUsed/>
    <w:rsid w:val="00541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BE5"/>
  </w:style>
  <w:style w:type="paragraph" w:styleId="Footer">
    <w:name w:val="footer"/>
    <w:basedOn w:val="Normal"/>
    <w:link w:val="FooterChar"/>
    <w:uiPriority w:val="99"/>
    <w:unhideWhenUsed/>
    <w:rsid w:val="00541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BE5"/>
  </w:style>
  <w:style w:type="character" w:styleId="FollowedHyperlink">
    <w:name w:val="FollowedHyperlink"/>
    <w:basedOn w:val="DefaultParagraphFont"/>
    <w:uiPriority w:val="99"/>
    <w:semiHidden/>
    <w:unhideWhenUsed/>
    <w:rsid w:val="009A5BB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17219243">
      <w:bodyDiv w:val="1"/>
      <w:marLeft w:val="0"/>
      <w:marRight w:val="0"/>
      <w:marTop w:val="0"/>
      <w:marBottom w:val="0"/>
      <w:divBdr>
        <w:top w:val="none" w:sz="0" w:space="0" w:color="auto"/>
        <w:left w:val="none" w:sz="0" w:space="0" w:color="auto"/>
        <w:bottom w:val="none" w:sz="0" w:space="0" w:color="auto"/>
        <w:right w:val="none" w:sz="0" w:space="0" w:color="auto"/>
      </w:divBdr>
      <w:divsChild>
        <w:div w:id="1318340076">
          <w:marLeft w:val="0"/>
          <w:marRight w:val="0"/>
          <w:marTop w:val="0"/>
          <w:marBottom w:val="0"/>
          <w:divBdr>
            <w:top w:val="none" w:sz="0" w:space="0" w:color="auto"/>
            <w:left w:val="none" w:sz="0" w:space="0" w:color="auto"/>
            <w:bottom w:val="none" w:sz="0" w:space="0" w:color="auto"/>
            <w:right w:val="none" w:sz="0" w:space="0" w:color="auto"/>
          </w:divBdr>
          <w:divsChild>
            <w:div w:id="61159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87678">
      <w:bodyDiv w:val="1"/>
      <w:marLeft w:val="0"/>
      <w:marRight w:val="0"/>
      <w:marTop w:val="0"/>
      <w:marBottom w:val="0"/>
      <w:divBdr>
        <w:top w:val="none" w:sz="0" w:space="0" w:color="auto"/>
        <w:left w:val="none" w:sz="0" w:space="0" w:color="auto"/>
        <w:bottom w:val="none" w:sz="0" w:space="0" w:color="auto"/>
        <w:right w:val="none" w:sz="0" w:space="0" w:color="auto"/>
      </w:divBdr>
    </w:div>
    <w:div w:id="640383390">
      <w:bodyDiv w:val="1"/>
      <w:marLeft w:val="0"/>
      <w:marRight w:val="0"/>
      <w:marTop w:val="0"/>
      <w:marBottom w:val="0"/>
      <w:divBdr>
        <w:top w:val="none" w:sz="0" w:space="0" w:color="auto"/>
        <w:left w:val="none" w:sz="0" w:space="0" w:color="auto"/>
        <w:bottom w:val="none" w:sz="0" w:space="0" w:color="auto"/>
        <w:right w:val="none" w:sz="0" w:space="0" w:color="auto"/>
      </w:divBdr>
    </w:div>
    <w:div w:id="703679385">
      <w:bodyDiv w:val="1"/>
      <w:marLeft w:val="0"/>
      <w:marRight w:val="0"/>
      <w:marTop w:val="0"/>
      <w:marBottom w:val="0"/>
      <w:divBdr>
        <w:top w:val="none" w:sz="0" w:space="0" w:color="auto"/>
        <w:left w:val="none" w:sz="0" w:space="0" w:color="auto"/>
        <w:bottom w:val="none" w:sz="0" w:space="0" w:color="auto"/>
        <w:right w:val="none" w:sz="0" w:space="0" w:color="auto"/>
      </w:divBdr>
    </w:div>
    <w:div w:id="802190174">
      <w:bodyDiv w:val="1"/>
      <w:marLeft w:val="0"/>
      <w:marRight w:val="0"/>
      <w:marTop w:val="0"/>
      <w:marBottom w:val="0"/>
      <w:divBdr>
        <w:top w:val="none" w:sz="0" w:space="0" w:color="auto"/>
        <w:left w:val="none" w:sz="0" w:space="0" w:color="auto"/>
        <w:bottom w:val="none" w:sz="0" w:space="0" w:color="auto"/>
        <w:right w:val="none" w:sz="0" w:space="0" w:color="auto"/>
      </w:divBdr>
    </w:div>
    <w:div w:id="1380325153">
      <w:bodyDiv w:val="1"/>
      <w:marLeft w:val="0"/>
      <w:marRight w:val="0"/>
      <w:marTop w:val="0"/>
      <w:marBottom w:val="0"/>
      <w:divBdr>
        <w:top w:val="none" w:sz="0" w:space="0" w:color="auto"/>
        <w:left w:val="none" w:sz="0" w:space="0" w:color="auto"/>
        <w:bottom w:val="none" w:sz="0" w:space="0" w:color="auto"/>
        <w:right w:val="none" w:sz="0" w:space="0" w:color="auto"/>
      </w:divBdr>
    </w:div>
    <w:div w:id="1818719449">
      <w:bodyDiv w:val="1"/>
      <w:marLeft w:val="0"/>
      <w:marRight w:val="0"/>
      <w:marTop w:val="0"/>
      <w:marBottom w:val="0"/>
      <w:divBdr>
        <w:top w:val="none" w:sz="0" w:space="0" w:color="auto"/>
        <w:left w:val="none" w:sz="0" w:space="0" w:color="auto"/>
        <w:bottom w:val="none" w:sz="0" w:space="0" w:color="auto"/>
        <w:right w:val="none" w:sz="0" w:space="0" w:color="auto"/>
      </w:divBdr>
    </w:div>
    <w:div w:id="1850561297">
      <w:bodyDiv w:val="1"/>
      <w:marLeft w:val="0"/>
      <w:marRight w:val="0"/>
      <w:marTop w:val="0"/>
      <w:marBottom w:val="0"/>
      <w:divBdr>
        <w:top w:val="none" w:sz="0" w:space="0" w:color="auto"/>
        <w:left w:val="none" w:sz="0" w:space="0" w:color="auto"/>
        <w:bottom w:val="none" w:sz="0" w:space="0" w:color="auto"/>
        <w:right w:val="none" w:sz="0" w:space="0" w:color="auto"/>
      </w:divBdr>
    </w:div>
    <w:div w:id="207415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investor.insmed.com/releasedetail.cfm?ReleaseID=364842" TargetMode="External"/><Relationship Id="rId20" Type="http://schemas.openxmlformats.org/officeDocument/2006/relationships/footer" Target="footer1.xml"/><Relationship Id="rId4" Type="http://schemas.openxmlformats.org/officeDocument/2006/relationships/webSettings" Target="webSettings.xml"/><Relationship Id="rId21" Type="http://schemas.openxmlformats.org/officeDocument/2006/relationships/fontTable" Target="fontTable.xml"/><Relationship Id="rId22" Type="http://schemas.openxmlformats.org/officeDocument/2006/relationships/theme" Target="theme/theme1.xml"/><Relationship Id="rId23" Type="http://schemas.microsoft.com/office/2007/relationships/stylesWithEffects" Target="stylesWithEffects.xml"/><Relationship Id="rId7" Type="http://schemas.openxmlformats.org/officeDocument/2006/relationships/hyperlink" Target="http://www.aei.org/outlook/26010" TargetMode="External"/><Relationship Id="rId11" Type="http://schemas.openxmlformats.org/officeDocument/2006/relationships/hyperlink" Target="http://www.pharmalot.com/2008/12/merck-wants-to-develop-follow-on-biologics/" TargetMode="External"/><Relationship Id="rId1" Type="http://schemas.openxmlformats.org/officeDocument/2006/relationships/customXml" Target="../customXml/item1.xml"/><Relationship Id="rId6" Type="http://schemas.openxmlformats.org/officeDocument/2006/relationships/endnotes" Target="endnotes.xml"/><Relationship Id="rId16" Type="http://schemas.openxmlformats.org/officeDocument/2006/relationships/hyperlink" Target="http://invivoblog.blogspot.com/2008/02/starring-role-for-follow-on-biologics.html" TargetMode="External"/><Relationship Id="rId8" Type="http://schemas.openxmlformats.org/officeDocument/2006/relationships/hyperlink" Target="http://www.modernmedicine.com/modernmedicine/Chains+%26+Business/PPACA-creates-approval-pathway-for-follow-on-biolo/ArticleStandard/Article/detail/680424?contextCategoryId=40159." TargetMode="External"/><Relationship Id="rId13" Type="http://schemas.openxmlformats.org/officeDocument/2006/relationships/hyperlink" Target="http://www.biopharmatoday.com/2008/12/mercks-ambitious-plans-for-follow-on-biologics.html" TargetMode="External"/><Relationship Id="rId10" Type="http://schemas.openxmlformats.org/officeDocument/2006/relationships/hyperlink" Target="http://www.pharmalot.com/2008/12/merck-wants-to-develop-follow-on-biologics/" TargetMode="External"/><Relationship Id="rId5" Type="http://schemas.openxmlformats.org/officeDocument/2006/relationships/footnotes" Target="footnotes.xml"/><Relationship Id="rId15" Type="http://schemas.openxmlformats.org/officeDocument/2006/relationships/hyperlink" Target="http://invivoblog.blogspot.com/2009/02/dotw-evolution.html" TargetMode="External"/><Relationship Id="rId12" Type="http://schemas.openxmlformats.org/officeDocument/2006/relationships/hyperlink" Target="http://www.biopharmatoday.com/2008/12/mercks-ambitious-plans-for-follow-on-biologics.html" TargetMode="External"/><Relationship Id="rId17" Type="http://schemas.openxmlformats.org/officeDocument/2006/relationships/hyperlink" Target="http://www.glycofi.com/news/050906.html" TargetMode="External"/><Relationship Id="rId19" Type="http://schemas.openxmlformats.org/officeDocument/2006/relationships/hyperlink" Target="http://www.icis.com/Articles/2010/02/15/9333235/follow-on-biologics-present-opportunity-to-big-pharma.html." TargetMode="External"/><Relationship Id="rId2" Type="http://schemas.openxmlformats.org/officeDocument/2006/relationships/styles" Target="styles.xml"/><Relationship Id="rId9" Type="http://schemas.openxmlformats.org/officeDocument/2006/relationships/hyperlink" Target="http://www.ftc.gov/os/2009/06/P083901biologicsreport.pdf" TargetMode="External"/><Relationship Id="rId3" Type="http://schemas.openxmlformats.org/officeDocument/2006/relationships/settings" Target="settings.xml"/><Relationship Id="rId18" Type="http://schemas.openxmlformats.org/officeDocument/2006/relationships/hyperlink" Target="http://blogs.wsj.com/health/2010/05/11/merck-scraps-once-promising-follow-on-biologic-for-anemia/"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invivoblog.blogspot.com/2009/02/dotw-evolution.html" TargetMode="External"/><Relationship Id="rId4" Type="http://schemas.openxmlformats.org/officeDocument/2006/relationships/hyperlink" Target="http://www.ftc.gov/os/2009/06/P083901biologicsreport.pdf" TargetMode="External"/><Relationship Id="rId10" Type="http://schemas.openxmlformats.org/officeDocument/2006/relationships/hyperlink" Target="http://www.glycofi.com/news/050906.html" TargetMode="External"/><Relationship Id="rId5" Type="http://schemas.openxmlformats.org/officeDocument/2006/relationships/hyperlink" Target="http://www.pharmalot.com/2008/12/merck-wants-to-develop-follow-on-biologics/" TargetMode="External"/><Relationship Id="rId7" Type="http://schemas.openxmlformats.org/officeDocument/2006/relationships/hyperlink" Target="http://investor.insmed.com/releasedetail.cfm?ReleaseID=364842" TargetMode="External"/><Relationship Id="rId11" Type="http://schemas.openxmlformats.org/officeDocument/2006/relationships/hyperlink" Target="http://blogs.wsj.com/health/2010/05/11/merck-scraps-once-promising-follow-on-biologic-for-anemia/" TargetMode="External"/><Relationship Id="rId12" Type="http://schemas.openxmlformats.org/officeDocument/2006/relationships/hyperlink" Target="http://www.icis.com/Articles/2010/02/15/9333235/follow-on-biologics-present-opportunity-to-big-pharma.html" TargetMode="External"/><Relationship Id="rId1" Type="http://schemas.openxmlformats.org/officeDocument/2006/relationships/hyperlink" Target="http://www.aei.org/outlook/26010" TargetMode="External"/><Relationship Id="rId2" Type="http://schemas.openxmlformats.org/officeDocument/2006/relationships/hyperlink" Target="http://uk.reuters.com/article/idUKLNE66102R20100702" TargetMode="External"/><Relationship Id="rId9" Type="http://schemas.openxmlformats.org/officeDocument/2006/relationships/hyperlink" Target="http://invivoblog.blogspot.com/2008/02/starring-role-for-follow-on-biologics.html" TargetMode="External"/><Relationship Id="rId3" Type="http://schemas.openxmlformats.org/officeDocument/2006/relationships/hyperlink" Target="http://www.modernmedicine.com/modernmedicine/Chains+%26+Business/PPACA-creates-approval-pathway-for-follow-on-biolo/ArticleStandard/Article/detail/680424?contextCategoryId=40159" TargetMode="External"/><Relationship Id="rId6" Type="http://schemas.openxmlformats.org/officeDocument/2006/relationships/hyperlink" Target="http://www.biopharmatoday.com/2008/12/mercks-ambitious-plans-for-follow-on-biologic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1725B-35F5-5D4D-B467-45916A45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1740</Words>
  <Characters>7135</Characters>
  <Application>Microsoft Macintosh Word</Application>
  <DocSecurity>0</DocSecurity>
  <Lines>246</Lines>
  <Paragraphs>142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Jacobs</dc:creator>
  <cp:lastModifiedBy>John Palfrey</cp:lastModifiedBy>
  <cp:revision>2</cp:revision>
  <dcterms:created xsi:type="dcterms:W3CDTF">2011-02-21T18:17:00Z</dcterms:created>
  <dcterms:modified xsi:type="dcterms:W3CDTF">2011-02-21T18:17:00Z</dcterms:modified>
</cp:coreProperties>
</file>